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BCED2">
      <w:pPr>
        <w:spacing w:line="576" w:lineRule="exact"/>
        <w:rPr>
          <w:rFonts w:ascii="黑体" w:hAnsi="黑体" w:eastAsia="黑体"/>
          <w:sz w:val="32"/>
          <w:szCs w:val="32"/>
        </w:rPr>
      </w:pPr>
      <w:r>
        <w:rPr>
          <w:rFonts w:hint="eastAsia" w:ascii="黑体" w:hAnsi="黑体" w:eastAsia="黑体"/>
          <w:sz w:val="44"/>
          <w:szCs w:val="44"/>
        </w:rPr>
        <w:t>“雪莲杯”优质工程奖评选办法（</w:t>
      </w:r>
      <w:r>
        <w:rPr>
          <w:rFonts w:hint="eastAsia" w:ascii="黑体" w:hAnsi="黑体" w:eastAsia="黑体"/>
          <w:sz w:val="44"/>
          <w:szCs w:val="44"/>
          <w:lang w:val="en-US" w:eastAsia="zh-CN"/>
        </w:rPr>
        <w:t>2023年修订</w:t>
      </w:r>
      <w:r>
        <w:rPr>
          <w:rFonts w:hint="eastAsia" w:ascii="黑体" w:hAnsi="黑体" w:eastAsia="黑体"/>
          <w:sz w:val="44"/>
          <w:szCs w:val="44"/>
        </w:rPr>
        <w:t>）</w:t>
      </w:r>
    </w:p>
    <w:p w14:paraId="75F32DD0">
      <w:pPr>
        <w:spacing w:line="576" w:lineRule="exact"/>
        <w:rPr>
          <w:rStyle w:val="9"/>
          <w:rFonts w:ascii="仿宋_GB2312" w:hAnsi="仿宋" w:eastAsia="仿宋_GB2312"/>
          <w:color w:val="000000"/>
          <w:szCs w:val="21"/>
        </w:rPr>
      </w:pPr>
    </w:p>
    <w:p w14:paraId="12C6E460">
      <w:pPr>
        <w:spacing w:line="576" w:lineRule="exact"/>
        <w:jc w:val="center"/>
        <w:rPr>
          <w:rStyle w:val="9"/>
          <w:rFonts w:ascii="黑体" w:hAnsi="黑体" w:eastAsia="黑体"/>
          <w:b w:val="0"/>
          <w:color w:val="000000"/>
          <w:sz w:val="32"/>
          <w:szCs w:val="32"/>
        </w:rPr>
      </w:pPr>
      <w:r>
        <w:rPr>
          <w:rStyle w:val="9"/>
          <w:rFonts w:hint="eastAsia" w:ascii="黑体" w:hAnsi="黑体" w:eastAsia="黑体"/>
          <w:b w:val="0"/>
          <w:color w:val="000000"/>
          <w:sz w:val="32"/>
          <w:szCs w:val="32"/>
        </w:rPr>
        <w:t>第一章</w:t>
      </w:r>
      <w:r>
        <w:rPr>
          <w:rStyle w:val="9"/>
          <w:rFonts w:hint="eastAsia" w:eastAsia="黑体" w:cs="宋体" w:asciiTheme="majorEastAsia" w:hAnsiTheme="majorEastAsia"/>
          <w:b w:val="0"/>
          <w:color w:val="000000"/>
          <w:sz w:val="32"/>
          <w:szCs w:val="32"/>
        </w:rPr>
        <w:t> </w:t>
      </w:r>
      <w:r>
        <w:rPr>
          <w:rStyle w:val="9"/>
          <w:rFonts w:hint="eastAsia" w:ascii="黑体" w:hAnsi="黑体" w:eastAsia="黑体"/>
          <w:b w:val="0"/>
          <w:color w:val="000000"/>
          <w:sz w:val="32"/>
          <w:szCs w:val="32"/>
        </w:rPr>
        <w:t>总则</w:t>
      </w:r>
    </w:p>
    <w:p w14:paraId="1026A3F8">
      <w:pPr>
        <w:spacing w:line="576" w:lineRule="exact"/>
        <w:rPr>
          <w:rFonts w:ascii="仿宋_GB2312" w:hAnsi="仿宋" w:eastAsia="仿宋_GB2312"/>
          <w:b/>
        </w:rPr>
      </w:pPr>
    </w:p>
    <w:p w14:paraId="13BEAF75">
      <w:pPr>
        <w:numPr>
          <w:ilvl w:val="0"/>
          <w:numId w:val="1"/>
        </w:num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深入贯彻党的二十大精神，践行习近平新时代中国特色社会主义思想，坚持“百年大计、质量第一”的方针，加快我区建筑业的技术进步，促进建筑业企业技术装备水平和建设工程质量管理水平，推动建筑产业高质量发展，规范我区建设工程雪莲杯（自治区优质工程）（以下简称雪莲杯）评选活动，保证评选工作健康有序的运行，结合我区实际制定本办法。</w:t>
      </w:r>
    </w:p>
    <w:p w14:paraId="21BA3025">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第二条</w:t>
      </w:r>
      <w:r>
        <w:rPr>
          <w:rFonts w:hint="eastAsia" w:ascii="仿宋_GB2312" w:hAnsi="仿宋" w:eastAsia="仿宋_GB2312"/>
          <w:color w:val="000000"/>
          <w:sz w:val="32"/>
          <w:szCs w:val="32"/>
        </w:rPr>
        <w:t xml:space="preserve"> 雪莲杯是西藏自治区建设工程质量的最高奖，勘察设计和工程质量应达到区内领先水平。</w:t>
      </w:r>
    </w:p>
    <w:p w14:paraId="17A9ADCC">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第三条</w:t>
      </w:r>
      <w:r>
        <w:rPr>
          <w:rFonts w:hint="eastAsia" w:ascii="仿宋_GB2312" w:hAnsi="仿宋" w:eastAsia="仿宋_GB2312"/>
          <w:color w:val="000000"/>
          <w:sz w:val="32"/>
          <w:szCs w:val="32"/>
        </w:rPr>
        <w:t xml:space="preserve"> 雪莲杯的评选工作在西藏自治区住房和城乡建设厅监督指导下，由西藏自治区建筑业协会负责组织实施。</w:t>
      </w:r>
    </w:p>
    <w:p w14:paraId="6E99F384">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第四条</w:t>
      </w:r>
      <w:r>
        <w:rPr>
          <w:rFonts w:hint="eastAsia" w:ascii="仿宋_GB2312" w:hAnsi="仿宋" w:eastAsia="仿宋_GB2312"/>
          <w:color w:val="000000"/>
          <w:sz w:val="32"/>
          <w:szCs w:val="32"/>
        </w:rPr>
        <w:t xml:space="preserve"> 雪莲杯的评选工作要本着对人民负责、对历史负责的精神，坚持优中选优、宁缺毋滥和公平、公正、公开的原则。</w:t>
      </w:r>
    </w:p>
    <w:p w14:paraId="21A1A161">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第五条</w:t>
      </w:r>
      <w:r>
        <w:rPr>
          <w:rFonts w:hint="eastAsia" w:ascii="仿宋_GB2312" w:hAnsi="仿宋" w:eastAsia="仿宋_GB2312"/>
          <w:color w:val="000000"/>
          <w:sz w:val="32"/>
          <w:szCs w:val="32"/>
        </w:rPr>
        <w:t xml:space="preserve"> 雪莲杯每一年评选一次，每</w:t>
      </w:r>
      <w:r>
        <w:rPr>
          <w:rFonts w:hint="eastAsia" w:ascii="仿宋_GB2312" w:hAnsi="仿宋" w:eastAsia="仿宋_GB2312"/>
          <w:color w:val="000000"/>
          <w:sz w:val="32"/>
          <w:szCs w:val="32"/>
          <w:lang w:val="en-US" w:eastAsia="zh-CN"/>
        </w:rPr>
        <w:t>五</w:t>
      </w:r>
      <w:bookmarkStart w:id="0" w:name="_GoBack"/>
      <w:bookmarkEnd w:id="0"/>
      <w:r>
        <w:rPr>
          <w:rFonts w:hint="eastAsia" w:ascii="仿宋_GB2312" w:hAnsi="仿宋" w:eastAsia="仿宋_GB2312"/>
          <w:color w:val="000000"/>
          <w:sz w:val="32"/>
          <w:szCs w:val="32"/>
        </w:rPr>
        <w:t>年表彰一次，获奖工程数量不超过90个。获奖单位为获奖工程的主要承建单位、参建单位。</w:t>
      </w:r>
    </w:p>
    <w:p w14:paraId="1475B41A">
      <w:pPr>
        <w:spacing w:line="576" w:lineRule="exact"/>
        <w:ind w:firstLine="643" w:firstLineChars="200"/>
        <w:rPr>
          <w:rFonts w:ascii="仿宋_GB2312" w:hAnsi="仿宋" w:eastAsia="仿宋_GB2312"/>
          <w:b/>
          <w:bCs/>
          <w:color w:val="000000"/>
          <w:sz w:val="32"/>
          <w:szCs w:val="32"/>
        </w:rPr>
      </w:pPr>
    </w:p>
    <w:p w14:paraId="15C869AB">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第六条</w:t>
      </w:r>
      <w:r>
        <w:rPr>
          <w:rFonts w:hint="eastAsia" w:ascii="仿宋_GB2312" w:hAnsi="仿宋" w:eastAsia="仿宋_GB2312"/>
          <w:color w:val="000000"/>
          <w:sz w:val="32"/>
          <w:szCs w:val="32"/>
        </w:rPr>
        <w:t xml:space="preserve"> 雪莲杯由企业自愿申报。申报阶段根据属地管理原则，由地（市）行业主管部门择优初审推荐后参加评选。</w:t>
      </w:r>
    </w:p>
    <w:p w14:paraId="6B609F41">
      <w:pPr>
        <w:spacing w:line="576" w:lineRule="exact"/>
        <w:ind w:firstLine="420" w:firstLineChars="200"/>
        <w:rPr>
          <w:rFonts w:ascii="仿宋_GB2312" w:hAnsi="仿宋" w:eastAsia="仿宋_GB2312"/>
          <w:color w:val="000000"/>
          <w:szCs w:val="21"/>
        </w:rPr>
      </w:pPr>
    </w:p>
    <w:p w14:paraId="060B57FF">
      <w:pPr>
        <w:spacing w:line="576" w:lineRule="exact"/>
        <w:jc w:val="center"/>
        <w:rPr>
          <w:rFonts w:ascii="黑体" w:hAnsi="黑体" w:eastAsia="黑体"/>
          <w:b/>
          <w:color w:val="000000"/>
          <w:sz w:val="32"/>
          <w:szCs w:val="32"/>
        </w:rPr>
      </w:pPr>
      <w:r>
        <w:rPr>
          <w:rStyle w:val="9"/>
          <w:rFonts w:hint="eastAsia" w:ascii="黑体" w:hAnsi="黑体" w:eastAsia="黑体"/>
          <w:b w:val="0"/>
          <w:color w:val="000000"/>
          <w:sz w:val="32"/>
          <w:szCs w:val="32"/>
        </w:rPr>
        <w:t>第二章</w:t>
      </w:r>
      <w:r>
        <w:rPr>
          <w:rStyle w:val="9"/>
          <w:rFonts w:hint="eastAsia" w:eastAsia="黑体" w:cs="宋体" w:asciiTheme="majorEastAsia" w:hAnsiTheme="majorEastAsia"/>
          <w:b w:val="0"/>
          <w:color w:val="000000"/>
          <w:sz w:val="32"/>
          <w:szCs w:val="32"/>
        </w:rPr>
        <w:t> </w:t>
      </w:r>
      <w:r>
        <w:rPr>
          <w:rStyle w:val="9"/>
          <w:rFonts w:hint="eastAsia" w:ascii="黑体" w:hAnsi="黑体" w:eastAsia="黑体"/>
          <w:b w:val="0"/>
          <w:color w:val="000000"/>
          <w:sz w:val="32"/>
          <w:szCs w:val="32"/>
        </w:rPr>
        <w:t>评选工程范围</w:t>
      </w:r>
    </w:p>
    <w:p w14:paraId="197B09A4">
      <w:pPr>
        <w:spacing w:line="576" w:lineRule="exact"/>
        <w:rPr>
          <w:rFonts w:ascii="仿宋_GB2312" w:hAnsi="仿宋" w:eastAsia="仿宋_GB2312"/>
          <w:color w:val="000000"/>
          <w:szCs w:val="21"/>
        </w:rPr>
      </w:pPr>
    </w:p>
    <w:p w14:paraId="36A2FD63">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第七条</w:t>
      </w:r>
      <w:r>
        <w:rPr>
          <w:rFonts w:hint="eastAsia" w:ascii="仿宋_GB2312" w:hAnsi="仿宋" w:eastAsia="仿宋_GB2312"/>
          <w:color w:val="000000"/>
          <w:sz w:val="32"/>
          <w:szCs w:val="32"/>
        </w:rPr>
        <w:t xml:space="preserve"> 雪莲杯的评选工程为在我区行政区划内、区内企业在西藏区域外承建的已经建成并投入使用的各类新（扩）建工程。</w:t>
      </w:r>
    </w:p>
    <w:p w14:paraId="32D9018C">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第八条</w:t>
      </w:r>
      <w:r>
        <w:rPr>
          <w:rFonts w:hint="eastAsia" w:ascii="仿宋_GB2312" w:hAnsi="仿宋" w:eastAsia="仿宋_GB2312"/>
          <w:color w:val="000000"/>
          <w:sz w:val="32"/>
          <w:szCs w:val="32"/>
        </w:rPr>
        <w:t xml:space="preserve"> 雪莲杯的评选工程分为：</w:t>
      </w:r>
    </w:p>
    <w:p w14:paraId="5172A04F">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（一）住宅工程；</w:t>
      </w:r>
    </w:p>
    <w:p w14:paraId="67DDA7C4">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（二）公共建筑工程；</w:t>
      </w:r>
    </w:p>
    <w:p w14:paraId="18CB6D23">
      <w:pPr>
        <w:spacing w:line="576" w:lineRule="exact"/>
        <w:ind w:firstLine="640" w:firstLineChars="200"/>
        <w:rPr>
          <w:rFonts w:ascii="仿宋_GB2312" w:hAnsi="仿宋" w:eastAsia="仿宋_GB2312"/>
          <w:sz w:val="32"/>
          <w:szCs w:val="32"/>
        </w:rPr>
      </w:pPr>
      <w:r>
        <w:rPr>
          <w:rFonts w:hint="eastAsia" w:ascii="仿宋_GB2312" w:hAnsi="仿宋" w:eastAsia="仿宋_GB2312"/>
          <w:color w:val="000000"/>
          <w:sz w:val="32"/>
          <w:szCs w:val="32"/>
        </w:rPr>
        <w:t>（三）</w:t>
      </w:r>
      <w:r>
        <w:rPr>
          <w:rFonts w:hint="eastAsia" w:ascii="仿宋_GB2312" w:hAnsi="仿宋" w:eastAsia="仿宋_GB2312"/>
          <w:sz w:val="32"/>
          <w:szCs w:val="32"/>
        </w:rPr>
        <w:t>交通水利电力工业工程；</w:t>
      </w:r>
    </w:p>
    <w:p w14:paraId="3A38985C">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（四）市政园林工程。</w:t>
      </w:r>
    </w:p>
    <w:p w14:paraId="0D297063">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以上四类工程的评选范围和规模应符合本办法附件1、2的规定。各类工程的获奖比例视当年实际情况确定。</w:t>
      </w:r>
    </w:p>
    <w:p w14:paraId="6A09AB50">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第九条</w:t>
      </w:r>
      <w:r>
        <w:rPr>
          <w:rFonts w:hint="eastAsia" w:ascii="仿宋_GB2312" w:hAnsi="仿宋" w:eastAsia="仿宋_GB2312"/>
          <w:color w:val="000000"/>
          <w:sz w:val="32"/>
          <w:szCs w:val="32"/>
        </w:rPr>
        <w:t xml:space="preserve"> 下列工程不列入评选：</w:t>
      </w:r>
    </w:p>
    <w:p w14:paraId="17E46454">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（一）由于勘察、设计、施工原因进行过主体结构加固或存在使用功能缺陷、安全隐患等工程；</w:t>
      </w:r>
    </w:p>
    <w:p w14:paraId="536981E6">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（二）已参加过雪莲杯评选而未获奖的工程；</w:t>
      </w:r>
    </w:p>
    <w:p w14:paraId="7713A88E">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（三）申报工程在建设过程中，发生过质量事故、生产安全事故、拖欠民工工资以及在社会上造成恶劣影响事件的工程；</w:t>
      </w:r>
    </w:p>
    <w:p w14:paraId="1BC9A570">
      <w:pPr>
        <w:pStyle w:val="2"/>
        <w:spacing w:line="576" w:lineRule="exact"/>
        <w:rPr>
          <w:rFonts w:ascii="仿宋_GB2312" w:hAnsi="仿宋" w:eastAsia="仿宋_GB2312"/>
          <w:color w:val="000000"/>
          <w:sz w:val="32"/>
          <w:szCs w:val="32"/>
        </w:rPr>
      </w:pPr>
      <w:r>
        <w:rPr>
          <w:rFonts w:hint="eastAsia"/>
        </w:rPr>
        <w:t xml:space="preserve">      </w:t>
      </w:r>
      <w:r>
        <w:rPr>
          <w:rFonts w:hint="eastAsia" w:ascii="仿宋_GB2312" w:hAnsi="仿宋" w:eastAsia="仿宋_GB2312"/>
          <w:color w:val="000000"/>
          <w:sz w:val="32"/>
          <w:szCs w:val="32"/>
        </w:rPr>
        <w:t>（四）申报单位在参评项目建设周期内有被地（市）级及以上政府部门公布的严重失信行为的责任主体；</w:t>
      </w:r>
    </w:p>
    <w:p w14:paraId="2AC0DE0D">
      <w:pPr>
        <w:pStyle w:val="2"/>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（五）未按要求接入“智慧化工地”的房屋市政工程项目；</w:t>
      </w:r>
    </w:p>
    <w:p w14:paraId="157D49E7">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（六）在实效的《产业结构调整指导目录》中，属于第二类（限制类）和第三类（淘汰类）的项目。</w:t>
      </w:r>
    </w:p>
    <w:p w14:paraId="538D3FF2">
      <w:pPr>
        <w:pStyle w:val="3"/>
        <w:spacing w:line="576" w:lineRule="exact"/>
      </w:pPr>
    </w:p>
    <w:p w14:paraId="5EC23662">
      <w:pPr>
        <w:spacing w:line="576" w:lineRule="exact"/>
        <w:jc w:val="center"/>
        <w:rPr>
          <w:rStyle w:val="9"/>
          <w:rFonts w:ascii="黑体" w:hAnsi="黑体" w:eastAsia="黑体"/>
          <w:b w:val="0"/>
        </w:rPr>
      </w:pPr>
      <w:r>
        <w:rPr>
          <w:rStyle w:val="9"/>
          <w:rFonts w:hint="eastAsia" w:ascii="黑体" w:hAnsi="黑体" w:eastAsia="黑体"/>
          <w:b w:val="0"/>
          <w:color w:val="000000"/>
          <w:sz w:val="32"/>
          <w:szCs w:val="32"/>
        </w:rPr>
        <w:t>第三章</w:t>
      </w:r>
      <w:r>
        <w:rPr>
          <w:rStyle w:val="9"/>
          <w:rFonts w:hint="eastAsia" w:eastAsia="黑体" w:cs="宋体" w:asciiTheme="majorEastAsia" w:hAnsiTheme="majorEastAsia"/>
          <w:b w:val="0"/>
          <w:color w:val="000000"/>
          <w:sz w:val="32"/>
          <w:szCs w:val="32"/>
        </w:rPr>
        <w:t> </w:t>
      </w:r>
      <w:r>
        <w:rPr>
          <w:rStyle w:val="9"/>
          <w:rFonts w:hint="eastAsia" w:ascii="黑体" w:hAnsi="黑体" w:eastAsia="黑体"/>
          <w:b w:val="0"/>
          <w:color w:val="000000"/>
          <w:sz w:val="32"/>
          <w:szCs w:val="32"/>
        </w:rPr>
        <w:t>申报条件</w:t>
      </w:r>
    </w:p>
    <w:p w14:paraId="7D2C0B9B">
      <w:pPr>
        <w:spacing w:line="576" w:lineRule="exact"/>
        <w:rPr>
          <w:rFonts w:ascii="仿宋_GB2312" w:hAnsi="仿宋" w:eastAsia="仿宋_GB2312"/>
          <w:color w:val="000000"/>
          <w:szCs w:val="21"/>
        </w:rPr>
      </w:pPr>
    </w:p>
    <w:p w14:paraId="4BF8107D">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第十条</w:t>
      </w:r>
      <w:r>
        <w:rPr>
          <w:rFonts w:hint="eastAsia" w:ascii="仿宋_GB2312" w:hAnsi="仿宋" w:eastAsia="仿宋_GB2312"/>
          <w:color w:val="000000"/>
          <w:sz w:val="32"/>
          <w:szCs w:val="32"/>
        </w:rPr>
        <w:t xml:space="preserve"> 申报工程应具备以下条件：</w:t>
      </w:r>
    </w:p>
    <w:p w14:paraId="1C727E2D">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（一）符合法定建设程序、国家工程建设强制性标准和节能、节地、节水、节材、绿色环保的规定，工程设计先进合理，建设过程中无违法违规行为；</w:t>
      </w:r>
    </w:p>
    <w:p w14:paraId="13378106">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（二）工程项目已完成竣工验收备案</w:t>
      </w:r>
      <w:r>
        <w:rPr>
          <w:rFonts w:hint="eastAsia" w:ascii="仿宋_GB2312" w:hAnsi="仿宋" w:eastAsia="仿宋_GB2312"/>
          <w:sz w:val="32"/>
          <w:szCs w:val="32"/>
        </w:rPr>
        <w:t>（水利水电工程主体工程已完成验收），</w:t>
      </w:r>
      <w:r>
        <w:rPr>
          <w:rFonts w:hint="eastAsia" w:ascii="仿宋_GB2312" w:hAnsi="仿宋" w:eastAsia="仿宋_GB2312"/>
          <w:color w:val="000000"/>
          <w:sz w:val="32"/>
          <w:szCs w:val="32"/>
        </w:rPr>
        <w:t>并经过一年以上使用没有发现质量缺陷和质量隐患，竣工验收至申报时间未超过四年；</w:t>
      </w:r>
    </w:p>
    <w:p w14:paraId="6E9B8BB9">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w:t>
      </w:r>
      <w:r>
        <w:rPr>
          <w:rFonts w:hint="eastAsia" w:ascii="仿宋_GB2312" w:hAnsi="仿宋" w:eastAsia="仿宋_GB2312"/>
          <w:sz w:val="32"/>
          <w:szCs w:val="32"/>
        </w:rPr>
        <w:t>交通工程、水利水电工程、电力工程、</w:t>
      </w:r>
      <w:r>
        <w:rPr>
          <w:rFonts w:hint="eastAsia" w:ascii="仿宋_GB2312" w:hAnsi="仿宋" w:eastAsia="仿宋_GB2312"/>
          <w:color w:val="000000"/>
          <w:sz w:val="32"/>
          <w:szCs w:val="32"/>
        </w:rPr>
        <w:t>市政园林工程除符合本条（一）（二）项条件外，其技术指标、经济效益及社会效益应达到本专业工程区内领先水平；</w:t>
      </w:r>
    </w:p>
    <w:p w14:paraId="4AD614B0">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（四）住宅工程除符合本条（一）（二）项条件外，入住率应达到30%以上。</w:t>
      </w:r>
    </w:p>
    <w:p w14:paraId="57390155">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（五）积极开展科技创新、积极推进绿色建造和智能建造，积极采用新技术、新工艺、新材料、新设备，其中采用“建筑业10项新技术”不少于4项。</w:t>
      </w:r>
    </w:p>
    <w:p w14:paraId="71DA063F">
      <w:pPr>
        <w:spacing w:line="576" w:lineRule="exact"/>
        <w:ind w:firstLine="420" w:firstLineChars="200"/>
        <w:rPr>
          <w:rFonts w:ascii="仿宋_GB2312" w:hAnsi="仿宋" w:eastAsia="仿宋_GB2312"/>
          <w:color w:val="000000"/>
          <w:sz w:val="32"/>
          <w:szCs w:val="32"/>
        </w:rPr>
      </w:pPr>
      <w:r>
        <w:rPr>
          <w:rFonts w:hint="eastAsia"/>
        </w:rPr>
        <w:t xml:space="preserve">  </w:t>
      </w:r>
      <w:r>
        <w:rPr>
          <w:rFonts w:hint="eastAsia" w:ascii="仿宋_GB2312" w:hAnsi="仿宋" w:eastAsia="仿宋_GB2312"/>
          <w:color w:val="000000"/>
          <w:sz w:val="32"/>
          <w:szCs w:val="32"/>
        </w:rPr>
        <w:t xml:space="preserve">（六）工程项目应具备结构功能的独立性和设备系统的完整性。所有分部、分项工程应全部完成，使用功能完善。 </w:t>
      </w:r>
    </w:p>
    <w:p w14:paraId="7F965010">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第十一条</w:t>
      </w:r>
      <w:r>
        <w:rPr>
          <w:rFonts w:hint="eastAsia" w:ascii="仿宋_GB2312" w:hAnsi="仿宋" w:eastAsia="仿宋_GB2312"/>
          <w:color w:val="000000"/>
          <w:sz w:val="32"/>
          <w:szCs w:val="32"/>
        </w:rPr>
        <w:t xml:space="preserve"> 纳入创“雪莲杯”优质工程奖计划的工程，西藏自治区建筑业协会应设专人负责，在施工过程中组织3—5名及以上相关专业的专家，对其地基基础、主体结构施工各进行不少于一次的中间质量检查，并有完整的检查记录和评审结论。承建（申报）单位应设专人负责创建工作。</w:t>
      </w:r>
    </w:p>
    <w:p w14:paraId="4A0795A5">
      <w:pPr>
        <w:spacing w:line="576"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w:t>
      </w:r>
      <w:r>
        <w:rPr>
          <w:rFonts w:hint="eastAsia" w:ascii="仿宋_GB2312" w:hAnsi="仿宋" w:eastAsia="仿宋_GB2312"/>
          <w:b/>
          <w:bCs/>
          <w:color w:val="000000"/>
          <w:sz w:val="32"/>
          <w:szCs w:val="32"/>
        </w:rPr>
        <w:t>第十二条</w:t>
      </w:r>
      <w:r>
        <w:rPr>
          <w:rFonts w:hint="eastAsia" w:ascii="仿宋_GB2312" w:hAnsi="仿宋" w:eastAsia="仿宋_GB2312"/>
          <w:color w:val="000000"/>
          <w:sz w:val="32"/>
          <w:szCs w:val="32"/>
        </w:rPr>
        <w:t xml:space="preserve"> 申报工程的主要承建单位，是指与申报工程的建设单位签订施工承包合同的独立法人单位。</w:t>
      </w:r>
    </w:p>
    <w:p w14:paraId="444EB196">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（一）在住宅和公共建筑工程中，应为承建主体结构的施工单位；</w:t>
      </w:r>
    </w:p>
    <w:p w14:paraId="11140754">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（二）在交通水利电力、市政园林工程中，应是承建主体工程或是工程主要部位的施工单位；</w:t>
      </w:r>
    </w:p>
    <w:p w14:paraId="4ED34E6D">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（三）在工业建设项目中，应是承建主要生产设备和管线、仪器、仪表的安装单位或是承建主厂房和与生产相关的主要建筑物、构筑物的施工单位。</w:t>
      </w:r>
    </w:p>
    <w:p w14:paraId="728E13DF">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第十三条</w:t>
      </w:r>
      <w:r>
        <w:rPr>
          <w:rFonts w:hint="eastAsia" w:ascii="仿宋_GB2312" w:hAnsi="仿宋" w:eastAsia="仿宋_GB2312"/>
          <w:color w:val="000000"/>
          <w:sz w:val="32"/>
          <w:szCs w:val="32"/>
        </w:rPr>
        <w:t xml:space="preserve"> 申报工程的主要参建单位，是指与承建单位签订分包合同的独立法人单位，其完成的工作量应占工程总量的10%以上。</w:t>
      </w:r>
    </w:p>
    <w:p w14:paraId="543A2368">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第十四条</w:t>
      </w:r>
      <w:r>
        <w:rPr>
          <w:rFonts w:hint="eastAsia" w:ascii="仿宋_GB2312" w:hAnsi="仿宋" w:eastAsia="仿宋_GB2312"/>
          <w:color w:val="000000"/>
          <w:sz w:val="32"/>
          <w:szCs w:val="32"/>
        </w:rPr>
        <w:t xml:space="preserve"> 两家以上施工企业联合承包一项工程，并签订联合承包合同的，可以联合申报雪莲杯。</w:t>
      </w:r>
    </w:p>
    <w:p w14:paraId="560ABB7D">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对于分标段发包的大型建设工程，两家以上施工企业分别与建设单位签订不同标段的施工承包合同，每家施工企业完成的工作量均在20%以上,且产值不少于1亿元的，可作为主要承建单位共同申报。与建设单位签订分标段施工承包合同的施工企业，其完成的工作量不满足上述要求，但超过5000万元的，可申报主要参建单位。</w:t>
      </w:r>
    </w:p>
    <w:p w14:paraId="2CF3394A">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对于投资10亿元以上的建设工程，可由建设单位牵头组织，符合上述条件的两家及以上建筑业企业共同申报。</w:t>
      </w:r>
    </w:p>
    <w:p w14:paraId="6F5ED595">
      <w:pPr>
        <w:spacing w:line="576" w:lineRule="exact"/>
        <w:rPr>
          <w:rStyle w:val="9"/>
          <w:rFonts w:ascii="仿宋_GB2312" w:hAnsi="黑体" w:eastAsia="仿宋_GB2312"/>
          <w:b w:val="0"/>
          <w:color w:val="000000"/>
          <w:szCs w:val="21"/>
        </w:rPr>
      </w:pPr>
    </w:p>
    <w:p w14:paraId="653707EE">
      <w:pPr>
        <w:spacing w:line="576" w:lineRule="exact"/>
        <w:jc w:val="center"/>
        <w:rPr>
          <w:rStyle w:val="9"/>
          <w:rFonts w:ascii="黑体" w:hAnsi="黑体" w:eastAsia="黑体"/>
          <w:b w:val="0"/>
          <w:color w:val="000000"/>
          <w:sz w:val="32"/>
          <w:szCs w:val="32"/>
        </w:rPr>
      </w:pPr>
      <w:r>
        <w:rPr>
          <w:rStyle w:val="9"/>
          <w:rFonts w:hint="eastAsia" w:ascii="黑体" w:hAnsi="黑体" w:eastAsia="黑体"/>
          <w:b w:val="0"/>
          <w:color w:val="000000"/>
          <w:sz w:val="32"/>
          <w:szCs w:val="32"/>
        </w:rPr>
        <w:t>第四章</w:t>
      </w:r>
      <w:r>
        <w:rPr>
          <w:rStyle w:val="9"/>
          <w:rFonts w:hint="eastAsia" w:eastAsia="黑体" w:cs="宋体" w:asciiTheme="majorEastAsia" w:hAnsiTheme="majorEastAsia"/>
          <w:b w:val="0"/>
          <w:color w:val="000000"/>
          <w:sz w:val="32"/>
          <w:szCs w:val="32"/>
        </w:rPr>
        <w:t> </w:t>
      </w:r>
      <w:r>
        <w:rPr>
          <w:rStyle w:val="9"/>
          <w:rFonts w:hint="eastAsia" w:ascii="黑体" w:hAnsi="黑体" w:eastAsia="黑体"/>
          <w:b w:val="0"/>
          <w:color w:val="000000"/>
          <w:sz w:val="32"/>
          <w:szCs w:val="32"/>
        </w:rPr>
        <w:t>申报和初审</w:t>
      </w:r>
    </w:p>
    <w:p w14:paraId="230F87E8">
      <w:pPr>
        <w:spacing w:line="576" w:lineRule="exact"/>
        <w:rPr>
          <w:rFonts w:ascii="仿宋_GB2312" w:hAnsi="仿宋" w:eastAsia="仿宋_GB2312"/>
          <w:b/>
          <w:color w:val="000000"/>
          <w:szCs w:val="21"/>
        </w:rPr>
      </w:pPr>
    </w:p>
    <w:p w14:paraId="0F2C15D2">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第十五条</w:t>
      </w:r>
      <w:r>
        <w:rPr>
          <w:rFonts w:hint="eastAsia" w:ascii="仿宋_GB2312" w:hAnsi="仿宋" w:eastAsia="仿宋_GB2312"/>
          <w:color w:val="000000"/>
          <w:sz w:val="32"/>
          <w:szCs w:val="32"/>
        </w:rPr>
        <w:t xml:space="preserve"> 申报工程由承建单位提出申请，主要参建单位的资料由承建单位统一汇总申报。</w:t>
      </w:r>
    </w:p>
    <w:p w14:paraId="6091B134">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第十六条</w:t>
      </w:r>
      <w:r>
        <w:rPr>
          <w:rFonts w:hint="eastAsia" w:ascii="仿宋_GB2312" w:hAnsi="仿宋" w:eastAsia="仿宋_GB2312"/>
          <w:color w:val="000000"/>
          <w:sz w:val="32"/>
          <w:szCs w:val="32"/>
        </w:rPr>
        <w:t xml:space="preserve"> 雪莲杯的申报程序：</w:t>
      </w:r>
    </w:p>
    <w:p w14:paraId="331A7D47">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申报雪莲杯奖，按以下程序进行：企业申报→地（市）建设行政主管部门推荐→申报资料审查→工程资料和实体复查→评审委员会评审→厅务会审议→表彰奖励。</w:t>
      </w:r>
    </w:p>
    <w:p w14:paraId="1159ECA4">
      <w:pPr>
        <w:pStyle w:val="3"/>
        <w:spacing w:line="576" w:lineRule="exact"/>
        <w:rPr>
          <w:rFonts w:eastAsia="仿宋_GB2312"/>
        </w:rPr>
      </w:pPr>
      <w:r>
        <w:rPr>
          <w:rFonts w:hint="eastAsia" w:ascii="仿宋_GB2312" w:hAnsi="仿宋" w:eastAsia="仿宋_GB2312"/>
          <w:color w:val="000000"/>
          <w:sz w:val="32"/>
          <w:szCs w:val="32"/>
        </w:rPr>
        <w:t xml:space="preserve">    工业、交通、水利等工程应征求相关行业协会（或行业主管部门）的意见，以书面信函方式加盖公章确认。</w:t>
      </w:r>
    </w:p>
    <w:p w14:paraId="18C0E85D">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第十七条</w:t>
      </w:r>
      <w:r>
        <w:rPr>
          <w:rFonts w:hint="eastAsia" w:ascii="仿宋_GB2312" w:hAnsi="仿宋" w:eastAsia="仿宋_GB2312" w:cs="宋体"/>
          <w:color w:val="000000"/>
          <w:kern w:val="0"/>
          <w:sz w:val="32"/>
          <w:szCs w:val="32"/>
        </w:rPr>
        <w:t xml:space="preserve"> </w:t>
      </w:r>
      <w:r>
        <w:rPr>
          <w:rFonts w:hint="eastAsia" w:ascii="仿宋_GB2312" w:hAnsi="仿宋" w:eastAsia="仿宋_GB2312"/>
          <w:color w:val="000000"/>
          <w:sz w:val="32"/>
          <w:szCs w:val="32"/>
        </w:rPr>
        <w:t>申报资料的主要内容：</w:t>
      </w:r>
    </w:p>
    <w:p w14:paraId="0C9E721E">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（一）“雪莲杯”优质工程奖申报表一式两份；</w:t>
      </w:r>
    </w:p>
    <w:p w14:paraId="3B7B9A71">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（二）申报资料总目录（并注明各种资料的份数）;</w:t>
      </w:r>
    </w:p>
    <w:p w14:paraId="19067A5C">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（三）有关工程概况和施工质量情况以及工程创优规划、措施实施效果的文字材料一式两份；</w:t>
      </w:r>
    </w:p>
    <w:p w14:paraId="1A418781">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（四）申报单位、勘察、设计、施工、监理等相关参建单位的营业执照、资质证书复印件（加盖本单位公章）各一份；</w:t>
      </w:r>
    </w:p>
    <w:p w14:paraId="559F06A4">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（五）工程立项批复和备案资料、报建文件、中标通知书、施工图审查合格报告书、施工许可证或开工报告、申报单位（总承包单位）施工合同书（合同的主要部分）、主要参建单位的施工合同书复印件各一份；</w:t>
      </w:r>
    </w:p>
    <w:p w14:paraId="4E2DE031">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（六）工程竣工联合验收备案文件或消防、节能、环保、规划等部门的分别验收证明文件复印件，地基、主体工程验收记录复印件，具有特种设备安装的工程，需出具特种设备专项验收的文件复印件一份；</w:t>
      </w:r>
    </w:p>
    <w:p w14:paraId="241922AA">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（七）施工技术资料（含竣工图）一份；</w:t>
      </w:r>
    </w:p>
    <w:p w14:paraId="7DAD3726">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（八）反映工程概况及质量情况（含主体结构）并附简要文字说明的工程各部位彩色高清原图照片20张以上；</w:t>
      </w:r>
    </w:p>
    <w:p w14:paraId="744904AC">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九）配有解说词的影像资料，内容包括：工程全貌、工程竣工后各主要功能部位，工程施工中的基坑开挖、基础施工、结构施工、门窗安装、屋面防水、管线铺设、设备安装、室内外装修的质量水平介绍，以及能反映主要施工方法和采用新技术、新工艺、新材料、新设备的措施。尤其应突出施工特点、施工关键技术、施工过程控制、新技术推广应用、工程质量过程控制和隐蔽工程的检验等情况。时间控制在10分钟以内；</w:t>
      </w:r>
    </w:p>
    <w:p w14:paraId="418D48EE">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注：</w:t>
      </w:r>
      <w:r>
        <w:rPr>
          <w:rFonts w:hint="eastAsia" w:ascii="仿宋_GB2312" w:hAnsi="仿宋" w:eastAsia="仿宋_GB2312"/>
          <w:color w:val="000000"/>
          <w:sz w:val="32"/>
          <w:szCs w:val="32"/>
        </w:rPr>
        <w:t>（一）至（九）申报资料均须用U盘提供电子版，资料（一）需提供纸质版，一式两份。</w:t>
      </w:r>
    </w:p>
    <w:p w14:paraId="51322379">
      <w:pPr>
        <w:numPr>
          <w:ilvl w:val="0"/>
          <w:numId w:val="2"/>
        </w:num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申报资料的具体要求：</w:t>
      </w:r>
    </w:p>
    <w:p w14:paraId="4D1821FE">
      <w:pPr>
        <w:numPr>
          <w:ilvl w:val="0"/>
          <w:numId w:val="3"/>
        </w:num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申报资料必须真实有效，不得弄虚作假；</w:t>
      </w:r>
    </w:p>
    <w:p w14:paraId="37A2CE7A">
      <w:pPr>
        <w:numPr>
          <w:ilvl w:val="0"/>
          <w:numId w:val="3"/>
        </w:num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申报表内签署意见各栏，必须写明对工程质量的具体评价意见，对未签署具体评价的视为无效；</w:t>
      </w:r>
    </w:p>
    <w:p w14:paraId="42AE7796">
      <w:pPr>
        <w:numPr>
          <w:ilvl w:val="0"/>
          <w:numId w:val="3"/>
        </w:num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申报资料中提供的文件、证明材料和印章必须清晰，容易辨认；</w:t>
      </w:r>
    </w:p>
    <w:p w14:paraId="17DE5C79">
      <w:pPr>
        <w:numPr>
          <w:ilvl w:val="0"/>
          <w:numId w:val="3"/>
        </w:num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申报资料必须准确、真实，并涵盖所申报工程的全部内容，资料中涉及建设地点、投资规模、建筑面积、结构类型、工程性质和用途等的数字和文字必须与工程一致。如有差异，要有相应的变更手续和文字说明；</w:t>
      </w:r>
    </w:p>
    <w:p w14:paraId="4EFFE710">
      <w:pPr>
        <w:numPr>
          <w:ilvl w:val="0"/>
          <w:numId w:val="3"/>
        </w:num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反映工程的影像资料，解说词应准确，与相应的内容协调。</w:t>
      </w:r>
    </w:p>
    <w:p w14:paraId="717744E1">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第十九条</w:t>
      </w:r>
      <w:r>
        <w:rPr>
          <w:rFonts w:hint="eastAsia" w:ascii="仿宋_GB2312" w:hAnsi="仿宋" w:eastAsia="仿宋_GB2312"/>
          <w:color w:val="000000"/>
          <w:sz w:val="32"/>
          <w:szCs w:val="32"/>
        </w:rPr>
        <w:t xml:space="preserve"> 自治区建筑业协会秘书处依据本办法规定的申报条件和要求，对申报的工程进行申报资料初审，并将初审结果告知推荐单位。</w:t>
      </w:r>
    </w:p>
    <w:p w14:paraId="3D00D1E4">
      <w:pPr>
        <w:spacing w:line="576" w:lineRule="exact"/>
        <w:ind w:firstLine="420" w:firstLineChars="200"/>
        <w:rPr>
          <w:rFonts w:ascii="仿宋_GB2312" w:hAnsi="仿宋" w:eastAsia="仿宋_GB2312"/>
          <w:color w:val="000000"/>
          <w:szCs w:val="21"/>
        </w:rPr>
      </w:pPr>
    </w:p>
    <w:p w14:paraId="31FA5859">
      <w:pPr>
        <w:spacing w:line="576" w:lineRule="exact"/>
        <w:jc w:val="center"/>
        <w:rPr>
          <w:rStyle w:val="9"/>
          <w:rFonts w:ascii="黑体" w:hAnsi="黑体" w:eastAsia="黑体"/>
          <w:b w:val="0"/>
          <w:color w:val="000000"/>
          <w:sz w:val="32"/>
          <w:szCs w:val="32"/>
        </w:rPr>
      </w:pPr>
      <w:r>
        <w:rPr>
          <w:rStyle w:val="9"/>
          <w:rFonts w:hint="eastAsia" w:ascii="黑体" w:hAnsi="黑体" w:eastAsia="黑体"/>
          <w:b w:val="0"/>
          <w:color w:val="000000"/>
          <w:sz w:val="32"/>
          <w:szCs w:val="32"/>
        </w:rPr>
        <w:t>第五章</w:t>
      </w:r>
      <w:r>
        <w:rPr>
          <w:rStyle w:val="9"/>
          <w:rFonts w:hint="eastAsia" w:eastAsia="黑体" w:cs="宋体" w:asciiTheme="minorEastAsia" w:hAnsiTheme="minorEastAsia"/>
          <w:b w:val="0"/>
          <w:color w:val="000000"/>
          <w:sz w:val="32"/>
          <w:szCs w:val="32"/>
        </w:rPr>
        <w:t> </w:t>
      </w:r>
      <w:r>
        <w:rPr>
          <w:rStyle w:val="9"/>
          <w:rFonts w:hint="eastAsia" w:ascii="黑体" w:hAnsi="黑体" w:eastAsia="黑体"/>
          <w:b w:val="0"/>
          <w:color w:val="000000"/>
          <w:sz w:val="32"/>
          <w:szCs w:val="32"/>
        </w:rPr>
        <w:t>工程复查</w:t>
      </w:r>
    </w:p>
    <w:p w14:paraId="515AC6D2">
      <w:pPr>
        <w:spacing w:line="576" w:lineRule="exact"/>
        <w:ind w:firstLine="420" w:firstLineChars="200"/>
        <w:rPr>
          <w:rFonts w:ascii="仿宋_GB2312" w:eastAsia="仿宋_GB2312" w:hAnsiTheme="minorEastAsia"/>
          <w:color w:val="000000"/>
          <w:szCs w:val="21"/>
        </w:rPr>
      </w:pPr>
    </w:p>
    <w:p w14:paraId="66D64088">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第二十条</w:t>
      </w:r>
      <w:r>
        <w:rPr>
          <w:rFonts w:hint="eastAsia" w:ascii="仿宋_GB2312" w:hAnsi="仿宋" w:eastAsia="仿宋_GB2312"/>
          <w:color w:val="000000"/>
          <w:sz w:val="32"/>
          <w:szCs w:val="32"/>
        </w:rPr>
        <w:t xml:space="preserve"> 自治区建筑业协会组成若干复查组根据《雪莲杯优质工程奖复查工作细则》对通过初审的工程进行现场复查，申报单位应配合复查工作。</w:t>
      </w:r>
    </w:p>
    <w:p w14:paraId="486D5FF3">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第二十一条</w:t>
      </w:r>
      <w:r>
        <w:rPr>
          <w:rFonts w:hint="eastAsia" w:ascii="仿宋_GB2312" w:hAnsi="仿宋" w:eastAsia="仿宋_GB2312"/>
          <w:color w:val="000000"/>
          <w:sz w:val="32"/>
          <w:szCs w:val="32"/>
        </w:rPr>
        <w:t xml:space="preserve"> 工程复查专家从西藏自治区建筑业协会专家委员会中抽取，经西藏自治区建筑业协会遴选后组成雪莲杯工程复查专家组。每个复查组由5～7位专家组成，原则上每位复查专家连续参加复查工作不超过三年。</w:t>
      </w:r>
    </w:p>
    <w:p w14:paraId="42488C9A">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第二十二条</w:t>
      </w:r>
      <w:r>
        <w:rPr>
          <w:rFonts w:hint="eastAsia" w:ascii="仿宋_GB2312" w:hAnsi="仿宋" w:eastAsia="仿宋_GB2312"/>
          <w:color w:val="000000"/>
          <w:sz w:val="32"/>
          <w:szCs w:val="32"/>
        </w:rPr>
        <w:t xml:space="preserve"> 工程复查的内容和要求：</w:t>
      </w:r>
    </w:p>
    <w:p w14:paraId="4DF9F900">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（一）听取申报单位对工程施工和质量的情况介绍，主要介绍工程特点、难点，施工技术、质量保证措施及创优亮点、科技应用及创新，各分部分项工程质量水平与质量评定结果。</w:t>
      </w:r>
    </w:p>
    <w:p w14:paraId="602CC1BA">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（二）听取建设、使用、设计、监理单位对工程质量的评价意见。复查组听取上述单位评价意见时，承建单位的有关人员应当回避。</w:t>
      </w:r>
    </w:p>
    <w:p w14:paraId="269540DC">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（三）查阅工程有关资料：</w:t>
      </w:r>
    </w:p>
    <w:p w14:paraId="5B449207">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1.立项审批或备案资料，包括工程立项报告、有关部门的审批文件、工程报建文件等（全部为原件）；</w:t>
      </w:r>
    </w:p>
    <w:p w14:paraId="07BF277C">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2.全部技术与质量资料(包括质量监督检查记录)；</w:t>
      </w:r>
    </w:p>
    <w:p w14:paraId="3AD4D59F">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3.全部管理资料；</w:t>
      </w:r>
    </w:p>
    <w:p w14:paraId="412F1483">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4.有关技术、质量和管理资料中，涉及重要分部分项工程及关键部位等，必须提供原件；</w:t>
      </w:r>
    </w:p>
    <w:p w14:paraId="5826BFA9">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5.分部分项、重要节点、竣工验收资料。</w:t>
      </w:r>
    </w:p>
    <w:p w14:paraId="21C197B3">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以上资料符合要求后再开展后续复查工作。核查时应重点关注基础和主体结构以及其他重要节点的质量情况。</w:t>
      </w:r>
    </w:p>
    <w:p w14:paraId="6700E549">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实地检查工程质量，并做出量化评价。复查组要求查看的工程内容和部位应予满足，不得以任何理由回避或拒绝。住宅和公共建筑工程抽查面积不低于总体量的25%，工业交通水利和市政园林工程抽查体量不低于总体量的25%。群体工程原则上对每个单体工程都要抽查。复查专家应作完整的工作记录。</w:t>
      </w:r>
    </w:p>
    <w:p w14:paraId="6FAF90F2">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（五）复查组对工程复查情况进行现场讲评；</w:t>
      </w:r>
    </w:p>
    <w:p w14:paraId="75292877">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（六）复查组向评审委员会提交复查报告。复查报告要对工程的整体质量状况做出客观、真实、全面的评价，并提出“推荐”或“不推荐”的意见。</w:t>
      </w:r>
    </w:p>
    <w:p w14:paraId="278482A1">
      <w:pPr>
        <w:spacing w:line="576" w:lineRule="exact"/>
        <w:ind w:firstLine="420" w:firstLineChars="200"/>
        <w:rPr>
          <w:rFonts w:ascii="仿宋_GB2312" w:hAnsi="仿宋" w:eastAsia="仿宋_GB2312"/>
          <w:color w:val="000000"/>
          <w:szCs w:val="21"/>
        </w:rPr>
      </w:pPr>
    </w:p>
    <w:p w14:paraId="075922A9">
      <w:pPr>
        <w:spacing w:line="576" w:lineRule="exact"/>
        <w:jc w:val="center"/>
        <w:rPr>
          <w:rStyle w:val="9"/>
          <w:rFonts w:ascii="黑体" w:hAnsi="黑体" w:eastAsia="黑体"/>
          <w:b w:val="0"/>
          <w:color w:val="000000"/>
          <w:sz w:val="32"/>
          <w:szCs w:val="32"/>
        </w:rPr>
      </w:pPr>
      <w:r>
        <w:rPr>
          <w:rStyle w:val="9"/>
          <w:rFonts w:hint="eastAsia" w:ascii="黑体" w:hAnsi="黑体" w:eastAsia="黑体"/>
          <w:b w:val="0"/>
          <w:color w:val="000000"/>
          <w:sz w:val="32"/>
          <w:szCs w:val="32"/>
        </w:rPr>
        <w:t>第六章</w:t>
      </w:r>
      <w:r>
        <w:rPr>
          <w:rStyle w:val="9"/>
          <w:rFonts w:hint="eastAsia" w:eastAsia="黑体" w:cs="宋体" w:asciiTheme="minorEastAsia" w:hAnsiTheme="minorEastAsia"/>
          <w:b w:val="0"/>
          <w:color w:val="000000"/>
          <w:sz w:val="32"/>
          <w:szCs w:val="32"/>
        </w:rPr>
        <w:t> </w:t>
      </w:r>
      <w:r>
        <w:rPr>
          <w:rStyle w:val="9"/>
          <w:rFonts w:hint="eastAsia" w:ascii="黑体" w:hAnsi="黑体" w:eastAsia="黑体"/>
          <w:b w:val="0"/>
          <w:color w:val="000000"/>
          <w:sz w:val="32"/>
          <w:szCs w:val="32"/>
        </w:rPr>
        <w:t>工程评审</w:t>
      </w:r>
    </w:p>
    <w:p w14:paraId="118F4192">
      <w:pPr>
        <w:spacing w:line="576" w:lineRule="exact"/>
        <w:rPr>
          <w:rFonts w:ascii="仿宋_GB2312" w:eastAsia="仿宋_GB2312" w:hAnsiTheme="minorEastAsia"/>
          <w:color w:val="000000"/>
          <w:szCs w:val="21"/>
        </w:rPr>
      </w:pPr>
    </w:p>
    <w:p w14:paraId="7A79EA31">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第二十三条</w:t>
      </w:r>
      <w:r>
        <w:rPr>
          <w:rFonts w:hint="eastAsia" w:ascii="仿宋_GB2312" w:hAnsi="仿宋" w:eastAsia="仿宋_GB2312"/>
          <w:color w:val="000000"/>
          <w:sz w:val="32"/>
          <w:szCs w:val="32"/>
        </w:rPr>
        <w:t xml:space="preserve"> 雪莲杯评审设立评审委员会，由9人组成，参加过工程复查的专家不得加入评审委员会。评审委员会设主任委员1人、副主任委员2人。评审委员须是具有高级及以上技术职称，有丰富实践经验的专家。</w:t>
      </w:r>
    </w:p>
    <w:p w14:paraId="21989163">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第二十四条</w:t>
      </w:r>
      <w:r>
        <w:rPr>
          <w:rFonts w:hint="eastAsia" w:ascii="仿宋_GB2312" w:hAnsi="仿宋" w:eastAsia="仿宋_GB2312"/>
          <w:color w:val="000000"/>
          <w:sz w:val="32"/>
          <w:szCs w:val="32"/>
        </w:rPr>
        <w:t xml:space="preserve"> 评审委员会的委员从自治区建筑业协会专家委员会中抽取，评审委员每年更换三分之一，原则上每位评审委员连续参加评审工作不超过三年。</w:t>
      </w:r>
    </w:p>
    <w:p w14:paraId="30A6C541">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第二十五条</w:t>
      </w:r>
      <w:r>
        <w:rPr>
          <w:rFonts w:hint="eastAsia" w:ascii="仿宋_GB2312" w:hAnsi="仿宋" w:eastAsia="仿宋_GB2312"/>
          <w:color w:val="000000"/>
          <w:sz w:val="32"/>
          <w:szCs w:val="32"/>
        </w:rPr>
        <w:t xml:space="preserve"> 评审委员会通过听取复查组汇报、观看工程影像资料、审查申报资料、质询、评议，现场投票并公开唱票，得票2/3及以上的入选雪莲杯工程。</w:t>
      </w:r>
    </w:p>
    <w:p w14:paraId="3A759E00">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第二十六条</w:t>
      </w:r>
      <w:r>
        <w:rPr>
          <w:rFonts w:hint="eastAsia" w:ascii="仿宋_GB2312" w:hAnsi="仿宋" w:eastAsia="仿宋_GB2312"/>
          <w:color w:val="000000"/>
          <w:sz w:val="32"/>
          <w:szCs w:val="32"/>
        </w:rPr>
        <w:t xml:space="preserve"> 评审结果经西藏自治区建筑业协会研究，将建议项目名单报至西藏自治区住房和城乡建设厅审定后， 在“西藏自治区住房和城乡建设厅官网”、“西藏自治区建筑业协会官网”等平台媒体上公示7日，公示期满无异议的，由西藏自治区住房和城乡建设厅下发雪莲杯获奖名单通知。</w:t>
      </w:r>
    </w:p>
    <w:p w14:paraId="768BA957">
      <w:pPr>
        <w:spacing w:line="576" w:lineRule="exact"/>
        <w:ind w:firstLine="420" w:firstLineChars="200"/>
        <w:rPr>
          <w:rFonts w:ascii="仿宋_GB2312" w:hAnsi="仿宋" w:eastAsia="仿宋_GB2312"/>
          <w:color w:val="000000"/>
          <w:szCs w:val="21"/>
        </w:rPr>
      </w:pPr>
    </w:p>
    <w:p w14:paraId="37D6BD3D">
      <w:pPr>
        <w:spacing w:line="576" w:lineRule="exact"/>
        <w:jc w:val="center"/>
        <w:rPr>
          <w:rStyle w:val="9"/>
          <w:rFonts w:hint="default" w:ascii="黑体" w:hAnsi="黑体" w:eastAsia="黑体"/>
          <w:b w:val="0"/>
          <w:color w:val="000000"/>
          <w:sz w:val="32"/>
          <w:szCs w:val="32"/>
          <w:lang w:val="en-US" w:eastAsia="zh-CN"/>
        </w:rPr>
      </w:pPr>
      <w:r>
        <w:rPr>
          <w:rStyle w:val="9"/>
          <w:rFonts w:hint="eastAsia" w:ascii="黑体" w:hAnsi="黑体" w:eastAsia="黑体"/>
          <w:b w:val="0"/>
          <w:color w:val="000000"/>
          <w:sz w:val="32"/>
          <w:szCs w:val="32"/>
        </w:rPr>
        <w:t>第七章</w:t>
      </w:r>
      <w:r>
        <w:rPr>
          <w:rStyle w:val="9"/>
          <w:rFonts w:hint="eastAsia" w:eastAsia="黑体" w:cs="宋体" w:asciiTheme="minorEastAsia" w:hAnsiTheme="minorEastAsia"/>
          <w:b w:val="0"/>
          <w:color w:val="000000"/>
          <w:sz w:val="32"/>
          <w:szCs w:val="32"/>
        </w:rPr>
        <w:t> </w:t>
      </w:r>
      <w:r>
        <w:rPr>
          <w:rStyle w:val="9"/>
          <w:rFonts w:hint="eastAsia" w:ascii="黑体" w:hAnsi="黑体" w:eastAsia="黑体"/>
          <w:b w:val="0"/>
          <w:color w:val="000000"/>
          <w:sz w:val="32"/>
          <w:szCs w:val="32"/>
          <w:lang w:val="en-US" w:eastAsia="zh-CN"/>
        </w:rPr>
        <w:t>成果应用及推广</w:t>
      </w:r>
    </w:p>
    <w:p w14:paraId="6EC576F1">
      <w:pPr>
        <w:spacing w:line="576" w:lineRule="exact"/>
        <w:jc w:val="center"/>
        <w:rPr>
          <w:rStyle w:val="9"/>
          <w:rFonts w:hint="default" w:ascii="黑体" w:hAnsi="黑体" w:eastAsia="黑体"/>
          <w:b w:val="0"/>
          <w:color w:val="000000"/>
          <w:sz w:val="32"/>
          <w:szCs w:val="32"/>
          <w:lang w:val="en-US" w:eastAsia="zh-CN"/>
        </w:rPr>
      </w:pPr>
    </w:p>
    <w:p w14:paraId="70F9396B">
      <w:pPr>
        <w:spacing w:line="576" w:lineRule="exact"/>
        <w:ind w:firstLine="643" w:firstLineChars="200"/>
        <w:rPr>
          <w:rFonts w:hint="eastAsia" w:ascii="仿宋_GB2312" w:eastAsia="仿宋_GB2312" w:hAnsiTheme="minorEastAsia"/>
          <w:color w:val="000000"/>
          <w:szCs w:val="21"/>
          <w:lang w:eastAsia="zh-CN"/>
        </w:rPr>
      </w:pPr>
      <w:r>
        <w:rPr>
          <w:rFonts w:hint="eastAsia" w:ascii="仿宋_GB2312" w:hAnsi="仿宋" w:eastAsia="仿宋_GB2312"/>
          <w:b/>
          <w:bCs/>
          <w:color w:val="000000"/>
          <w:sz w:val="32"/>
          <w:szCs w:val="32"/>
        </w:rPr>
        <w:t>第二十七条</w:t>
      </w:r>
      <w:r>
        <w:rPr>
          <w:rFonts w:hint="eastAsia" w:ascii="仿宋_GB2312" w:hAnsi="仿宋" w:eastAsia="仿宋_GB2312"/>
          <w:b/>
          <w:bCs/>
          <w:color w:val="000000"/>
          <w:sz w:val="32"/>
          <w:szCs w:val="32"/>
          <w:lang w:val="en-US" w:eastAsia="zh-CN"/>
        </w:rPr>
        <w:t xml:space="preserve"> </w:t>
      </w:r>
      <w:r>
        <w:rPr>
          <w:rFonts w:hint="eastAsia" w:ascii="仿宋_GB2312" w:hAnsi="仿宋" w:eastAsia="仿宋_GB2312"/>
          <w:color w:val="000000"/>
          <w:sz w:val="32"/>
          <w:szCs w:val="32"/>
        </w:rPr>
        <w:t>获得</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雪莲杯</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优质工程奖</w:t>
      </w:r>
      <w:r>
        <w:rPr>
          <w:rFonts w:hint="eastAsia" w:ascii="仿宋_GB2312" w:hAnsi="仿宋" w:eastAsia="仿宋_GB2312"/>
          <w:color w:val="000000"/>
          <w:sz w:val="32"/>
          <w:szCs w:val="32"/>
        </w:rPr>
        <w:t>的项目，</w:t>
      </w:r>
      <w:r>
        <w:rPr>
          <w:rFonts w:hint="eastAsia" w:ascii="仿宋_GB2312" w:hAnsi="仿宋" w:eastAsia="仿宋_GB2312"/>
          <w:color w:val="000000"/>
          <w:sz w:val="32"/>
          <w:szCs w:val="32"/>
          <w:lang w:val="en-US" w:eastAsia="zh-CN"/>
        </w:rPr>
        <w:t>投标时</w:t>
      </w:r>
      <w:r>
        <w:rPr>
          <w:rFonts w:hint="eastAsia" w:ascii="仿宋_GB2312" w:hAnsi="仿宋" w:eastAsia="仿宋_GB2312"/>
          <w:color w:val="000000"/>
          <w:sz w:val="32"/>
          <w:szCs w:val="32"/>
        </w:rPr>
        <w:t>项目经理工程业绩计2分</w:t>
      </w:r>
      <w:r>
        <w:rPr>
          <w:rFonts w:hint="eastAsia" w:ascii="仿宋_GB2312" w:hAnsi="仿宋" w:eastAsia="仿宋_GB2312"/>
          <w:color w:val="000000"/>
          <w:sz w:val="32"/>
          <w:szCs w:val="32"/>
          <w:lang w:eastAsia="zh-CN"/>
        </w:rPr>
        <w:t>。</w:t>
      </w:r>
    </w:p>
    <w:p w14:paraId="1B7AE8D1">
      <w:pPr>
        <w:spacing w:line="576" w:lineRule="exact"/>
        <w:ind w:firstLine="643" w:firstLineChars="200"/>
        <w:jc w:val="left"/>
        <w:rPr>
          <w:rFonts w:ascii="仿宋_GB2312" w:hAnsi="仿宋" w:eastAsia="仿宋_GB2312"/>
          <w:color w:val="000000"/>
          <w:sz w:val="32"/>
          <w:szCs w:val="32"/>
        </w:rPr>
      </w:pPr>
      <w:r>
        <w:rPr>
          <w:rFonts w:hint="eastAsia" w:ascii="仿宋_GB2312" w:hAnsi="仿宋" w:eastAsia="仿宋_GB2312"/>
          <w:b/>
          <w:bCs/>
          <w:color w:val="000000"/>
          <w:sz w:val="32"/>
          <w:szCs w:val="32"/>
        </w:rPr>
        <w:t>第二十</w:t>
      </w:r>
      <w:r>
        <w:rPr>
          <w:rFonts w:hint="eastAsia" w:ascii="仿宋_GB2312" w:hAnsi="仿宋" w:eastAsia="仿宋_GB2312"/>
          <w:b/>
          <w:bCs/>
          <w:color w:val="000000"/>
          <w:sz w:val="32"/>
          <w:szCs w:val="32"/>
          <w:lang w:val="en-US" w:eastAsia="zh-CN"/>
        </w:rPr>
        <w:t>八</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在自治区住房和城乡建设厅监督指导下，自治区建筑业协会每三年召开颁奖大会，向荣获雪莲杯的主要承建单位授予奖杯和获奖证书，向荣获雪莲杯的主要参建单位颁发奖牌和获奖证书，向雪莲杯工程承建单位的项目经理或技术负责人颁发证书。获奖工程的建设单位可向自治区建筑业协会申请颁发雪莲杯奖杯作为纪念。</w:t>
      </w:r>
    </w:p>
    <w:p w14:paraId="212DE523">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第二十</w:t>
      </w:r>
      <w:r>
        <w:rPr>
          <w:rFonts w:hint="eastAsia" w:ascii="仿宋_GB2312" w:hAnsi="仿宋" w:eastAsia="仿宋_GB2312"/>
          <w:b/>
          <w:bCs/>
          <w:color w:val="000000"/>
          <w:sz w:val="32"/>
          <w:szCs w:val="32"/>
          <w:lang w:val="en-US" w:eastAsia="zh-CN"/>
        </w:rPr>
        <w:t>九</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获奖工程的建设单位可向自治区建筑业协会申请颁发雪莲杯奖杯作为纪念。</w:t>
      </w:r>
    </w:p>
    <w:p w14:paraId="1EBDE446">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w:t>
      </w:r>
      <w:r>
        <w:rPr>
          <w:rFonts w:hint="eastAsia" w:ascii="仿宋_GB2312" w:hAnsi="仿宋" w:eastAsia="仿宋_GB2312"/>
          <w:b/>
          <w:bCs/>
          <w:color w:val="000000"/>
          <w:sz w:val="32"/>
          <w:szCs w:val="32"/>
          <w:lang w:val="en-US" w:eastAsia="zh-CN"/>
        </w:rPr>
        <w:t>三十</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任何单位和个人都不得复制雪莲杯奖杯、奖牌和证书。如有违者，将依法追究其法律责任。</w:t>
      </w:r>
    </w:p>
    <w:p w14:paraId="032DB1A2">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第三十</w:t>
      </w:r>
      <w:r>
        <w:rPr>
          <w:rFonts w:hint="eastAsia" w:ascii="仿宋_GB2312" w:hAnsi="仿宋" w:eastAsia="仿宋_GB2312"/>
          <w:b/>
          <w:bCs/>
          <w:color w:val="000000"/>
          <w:sz w:val="32"/>
          <w:szCs w:val="32"/>
          <w:lang w:val="en-US" w:eastAsia="zh-CN"/>
        </w:rPr>
        <w:t>一</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为充分发挥雪莲杯工程的示范引领作用，促进全区工程质量水平提高，西藏自治区建筑业协会适时开展有关活动对创雪莲杯工程经验进行交流和推广。</w:t>
      </w:r>
    </w:p>
    <w:p w14:paraId="620E8D06">
      <w:pPr>
        <w:spacing w:line="576" w:lineRule="exact"/>
        <w:ind w:firstLine="420" w:firstLineChars="200"/>
        <w:rPr>
          <w:rFonts w:ascii="仿宋_GB2312" w:hAnsi="仿宋" w:eastAsia="仿宋_GB2312"/>
          <w:color w:val="000000"/>
          <w:szCs w:val="21"/>
        </w:rPr>
      </w:pPr>
    </w:p>
    <w:p w14:paraId="3B26DE96">
      <w:pPr>
        <w:spacing w:line="576" w:lineRule="exact"/>
        <w:jc w:val="center"/>
        <w:rPr>
          <w:rStyle w:val="9"/>
          <w:rFonts w:hint="default" w:ascii="黑体" w:hAnsi="黑体" w:eastAsia="黑体"/>
          <w:b w:val="0"/>
          <w:color w:val="000000"/>
          <w:sz w:val="32"/>
          <w:szCs w:val="32"/>
          <w:lang w:val="en-US" w:eastAsia="zh-CN"/>
        </w:rPr>
      </w:pPr>
      <w:r>
        <w:rPr>
          <w:rStyle w:val="9"/>
          <w:rFonts w:hint="eastAsia" w:ascii="黑体" w:hAnsi="黑体" w:eastAsia="黑体"/>
          <w:b w:val="0"/>
          <w:color w:val="000000"/>
          <w:sz w:val="32"/>
          <w:szCs w:val="32"/>
        </w:rPr>
        <w:t>第八章</w:t>
      </w:r>
      <w:r>
        <w:rPr>
          <w:rStyle w:val="9"/>
          <w:rFonts w:hint="eastAsia" w:eastAsia="黑体" w:cs="宋体" w:asciiTheme="minorEastAsia" w:hAnsiTheme="minorEastAsia"/>
          <w:b w:val="0"/>
          <w:color w:val="000000"/>
          <w:sz w:val="32"/>
          <w:szCs w:val="32"/>
        </w:rPr>
        <w:t> </w:t>
      </w:r>
      <w:r>
        <w:rPr>
          <w:rStyle w:val="9"/>
          <w:rFonts w:hint="eastAsia" w:ascii="黑体" w:hAnsi="黑体" w:eastAsia="黑体"/>
          <w:b w:val="0"/>
          <w:color w:val="000000"/>
          <w:sz w:val="32"/>
          <w:szCs w:val="32"/>
          <w:lang w:val="en-US" w:eastAsia="zh-CN"/>
        </w:rPr>
        <w:t>监督管理</w:t>
      </w:r>
    </w:p>
    <w:p w14:paraId="3CFF0F01">
      <w:pPr>
        <w:spacing w:line="576" w:lineRule="exact"/>
        <w:rPr>
          <w:rStyle w:val="9"/>
          <w:rFonts w:ascii="仿宋_GB2312" w:hAnsi="仿宋" w:eastAsia="仿宋_GB2312"/>
          <w:color w:val="000000"/>
          <w:szCs w:val="21"/>
        </w:rPr>
      </w:pPr>
    </w:p>
    <w:p w14:paraId="11186E92">
      <w:pPr>
        <w:spacing w:line="576" w:lineRule="exact"/>
        <w:ind w:firstLine="420" w:firstLineChars="200"/>
        <w:rPr>
          <w:rFonts w:ascii="仿宋_GB2312" w:hAnsi="仿宋" w:eastAsia="仿宋_GB2312"/>
          <w:color w:val="000000"/>
          <w:sz w:val="32"/>
          <w:szCs w:val="32"/>
        </w:rPr>
      </w:pPr>
      <w:r>
        <w:rPr>
          <w:rFonts w:hint="eastAsia"/>
        </w:rPr>
        <w:t xml:space="preserve">  </w:t>
      </w:r>
      <w:r>
        <w:rPr>
          <w:rFonts w:hint="eastAsia" w:ascii="仿宋_GB2312" w:hAnsi="仿宋" w:eastAsia="仿宋_GB2312"/>
          <w:b/>
          <w:bCs/>
          <w:color w:val="000000"/>
          <w:sz w:val="32"/>
          <w:szCs w:val="32"/>
        </w:rPr>
        <w:t>第三十</w:t>
      </w:r>
      <w:r>
        <w:rPr>
          <w:rFonts w:hint="eastAsia" w:ascii="仿宋_GB2312" w:hAnsi="仿宋" w:eastAsia="仿宋_GB2312"/>
          <w:b/>
          <w:bCs/>
          <w:color w:val="000000"/>
          <w:sz w:val="32"/>
          <w:szCs w:val="32"/>
          <w:lang w:val="en-US" w:eastAsia="zh-CN"/>
        </w:rPr>
        <w:t>二</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雪莲杯评选工作应坚持推荐、复查、评审、决策四分离的原则。</w:t>
      </w:r>
    </w:p>
    <w:p w14:paraId="13681794">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第三十</w:t>
      </w:r>
      <w:r>
        <w:rPr>
          <w:rFonts w:hint="eastAsia" w:ascii="仿宋_GB2312" w:hAnsi="仿宋" w:eastAsia="仿宋_GB2312"/>
          <w:b/>
          <w:bCs/>
          <w:color w:val="000000"/>
          <w:sz w:val="32"/>
          <w:szCs w:val="32"/>
          <w:lang w:val="en-US" w:eastAsia="zh-CN"/>
        </w:rPr>
        <w:t>三</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雪莲杯复查工作与评选工作必须认真执行国家有关工程建设质量管理的法律、法规和国家、行业有关标准、规范、规程。凡参与雪莲杯工程复查与评选工作的人员，必须严格执行本办法及有关纪律规定，严禁收取任何单位或个人赠送的任何礼品、纪念品和现金、有价证券、支付凭证等。</w:t>
      </w:r>
    </w:p>
    <w:p w14:paraId="66D151C7">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第三十</w:t>
      </w:r>
      <w:r>
        <w:rPr>
          <w:rFonts w:hint="eastAsia" w:ascii="仿宋_GB2312" w:hAnsi="仿宋" w:eastAsia="仿宋_GB2312"/>
          <w:b/>
          <w:bCs/>
          <w:color w:val="000000"/>
          <w:sz w:val="32"/>
          <w:szCs w:val="32"/>
          <w:lang w:val="en-US" w:eastAsia="zh-CN"/>
        </w:rPr>
        <w:t>四</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工程复查和评审专家实行回避制度。复查专家不得参与复查本单位的申报工程。评审专家与当年申报工程相关单位有利害关系的，应当回避。</w:t>
      </w:r>
    </w:p>
    <w:p w14:paraId="3888F0A9">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第三十</w:t>
      </w:r>
      <w:r>
        <w:rPr>
          <w:rFonts w:hint="eastAsia" w:ascii="仿宋_GB2312" w:hAnsi="仿宋" w:eastAsia="仿宋_GB2312"/>
          <w:b/>
          <w:bCs/>
          <w:color w:val="000000"/>
          <w:sz w:val="32"/>
          <w:szCs w:val="32"/>
          <w:lang w:val="en-US" w:eastAsia="zh-CN"/>
        </w:rPr>
        <w:t>五</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申报单位应对申报资料的真实性负责，若有弄虚作假情况的，一经查实，取消申报工程参评雪莲杯资格</w:t>
      </w:r>
      <w:r>
        <w:rPr>
          <w:rFonts w:hint="eastAsia"/>
        </w:rPr>
        <w:t>。</w:t>
      </w:r>
      <w:r>
        <w:rPr>
          <w:rFonts w:hint="eastAsia" w:ascii="仿宋_GB2312" w:hAnsi="仿宋" w:eastAsia="仿宋_GB2312"/>
          <w:color w:val="000000"/>
          <w:sz w:val="32"/>
          <w:szCs w:val="32"/>
        </w:rPr>
        <w:t>申报企业和工程复查、评审专家以及参与相关工作的所有人员，均不得以任何方式为申报工程拉选票。</w:t>
      </w:r>
    </w:p>
    <w:p w14:paraId="570E785D">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第三十</w:t>
      </w:r>
      <w:r>
        <w:rPr>
          <w:rFonts w:hint="eastAsia" w:ascii="仿宋_GB2312" w:hAnsi="仿宋" w:eastAsia="仿宋_GB2312"/>
          <w:b/>
          <w:bCs/>
          <w:color w:val="000000"/>
          <w:sz w:val="32"/>
          <w:szCs w:val="32"/>
          <w:lang w:val="en-US" w:eastAsia="zh-CN"/>
        </w:rPr>
        <w:t>六</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各有关方面接待复查组的安排从简，不得超标准接待，不得赠送任何礼品、纪念品和现金、有价证券、支付凭证等，不得组织旅游和与工程复查工作无关的参观活动。</w:t>
      </w:r>
    </w:p>
    <w:p w14:paraId="159B73F7">
      <w:pPr>
        <w:pStyle w:val="2"/>
        <w:spacing w:line="576"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w:t>
      </w:r>
      <w:r>
        <w:rPr>
          <w:rFonts w:hint="eastAsia" w:ascii="仿宋_GB2312" w:hAnsi="仿宋" w:eastAsia="仿宋_GB2312"/>
          <w:b/>
          <w:bCs/>
          <w:color w:val="000000"/>
          <w:sz w:val="32"/>
          <w:szCs w:val="32"/>
        </w:rPr>
        <w:t>第三十</w:t>
      </w:r>
      <w:r>
        <w:rPr>
          <w:rFonts w:hint="eastAsia" w:ascii="仿宋_GB2312" w:hAnsi="仿宋" w:eastAsia="仿宋_GB2312"/>
          <w:b/>
          <w:bCs/>
          <w:color w:val="000000"/>
          <w:sz w:val="32"/>
          <w:szCs w:val="32"/>
          <w:lang w:val="en-US" w:eastAsia="zh-CN"/>
        </w:rPr>
        <w:t>七</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西藏自治区建筑业协会工作人员不得以任何方式干涉推荐单位、复查专家和评审委员的工作。如有违者，推荐单位、复查专家和评审委员可向西藏自治区建筑业协会或上级组织反映、投诉、举报。</w:t>
      </w:r>
    </w:p>
    <w:p w14:paraId="042A08D2">
      <w:pPr>
        <w:pStyle w:val="2"/>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第三十</w:t>
      </w:r>
      <w:r>
        <w:rPr>
          <w:rFonts w:hint="eastAsia" w:ascii="仿宋_GB2312" w:hAnsi="仿宋" w:eastAsia="仿宋_GB2312"/>
          <w:b/>
          <w:bCs/>
          <w:color w:val="000000"/>
          <w:sz w:val="32"/>
          <w:szCs w:val="32"/>
          <w:lang w:val="en-US" w:eastAsia="zh-CN"/>
        </w:rPr>
        <w:t>八</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复查工作结束后，由申报单位对本次复查成员的业务水平、工作态度和廉洁自律等方面情况做出客观评价，并反馈至西藏自治区建筑业协会。</w:t>
      </w:r>
    </w:p>
    <w:p w14:paraId="6E3C3B6B">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第三十</w:t>
      </w:r>
      <w:r>
        <w:rPr>
          <w:rFonts w:hint="eastAsia" w:ascii="仿宋_GB2312" w:hAnsi="仿宋" w:eastAsia="仿宋_GB2312"/>
          <w:b/>
          <w:bCs/>
          <w:color w:val="000000"/>
          <w:sz w:val="32"/>
          <w:szCs w:val="32"/>
          <w:lang w:val="en-US" w:eastAsia="zh-CN"/>
        </w:rPr>
        <w:t>九</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凡违反本办法及有关纪律规定，情节严重的，对申报企业取消参评资格；对复查、评审专家取消复查或评审资格，并终生不得再进入自治区建筑业协会专家库；对工作人员建议所在单位给予严肃处理，属自治区建筑业协会的工作人员，视情节给予行政处分；涉嫌违法犯罪的，将移送司法机关处理。</w:t>
      </w:r>
    </w:p>
    <w:p w14:paraId="74ED301F">
      <w:pPr>
        <w:spacing w:line="576" w:lineRule="exact"/>
        <w:ind w:firstLine="420" w:firstLineChars="200"/>
        <w:rPr>
          <w:rFonts w:ascii="仿宋_GB2312" w:hAnsi="仿宋" w:eastAsia="仿宋_GB2312"/>
          <w:color w:val="000000"/>
          <w:szCs w:val="21"/>
        </w:rPr>
      </w:pPr>
    </w:p>
    <w:p w14:paraId="4A9A40E6">
      <w:pPr>
        <w:spacing w:line="576" w:lineRule="exact"/>
        <w:jc w:val="center"/>
        <w:rPr>
          <w:rStyle w:val="9"/>
          <w:rFonts w:ascii="黑体" w:hAnsi="黑体" w:eastAsia="黑体"/>
          <w:b w:val="0"/>
          <w:color w:val="000000"/>
          <w:sz w:val="32"/>
          <w:szCs w:val="32"/>
        </w:rPr>
      </w:pPr>
      <w:r>
        <w:rPr>
          <w:rStyle w:val="9"/>
          <w:rFonts w:hint="eastAsia" w:ascii="黑体" w:hAnsi="黑体" w:eastAsia="黑体"/>
          <w:b w:val="0"/>
          <w:color w:val="000000"/>
          <w:sz w:val="32"/>
          <w:szCs w:val="32"/>
        </w:rPr>
        <w:t>第九章</w:t>
      </w:r>
      <w:r>
        <w:rPr>
          <w:rStyle w:val="9"/>
          <w:rFonts w:hint="eastAsia" w:eastAsia="黑体" w:cs="宋体" w:asciiTheme="minorEastAsia" w:hAnsiTheme="minorEastAsia"/>
          <w:b w:val="0"/>
          <w:color w:val="000000"/>
          <w:sz w:val="32"/>
          <w:szCs w:val="32"/>
        </w:rPr>
        <w:t> </w:t>
      </w:r>
      <w:r>
        <w:rPr>
          <w:rStyle w:val="9"/>
          <w:rFonts w:hint="eastAsia" w:ascii="黑体" w:hAnsi="黑体" w:eastAsia="黑体"/>
          <w:b w:val="0"/>
          <w:color w:val="000000"/>
          <w:sz w:val="32"/>
          <w:szCs w:val="32"/>
        </w:rPr>
        <w:t>附则</w:t>
      </w:r>
    </w:p>
    <w:p w14:paraId="1BEE33EE">
      <w:pPr>
        <w:spacing w:line="576" w:lineRule="exact"/>
        <w:rPr>
          <w:rFonts w:ascii="仿宋_GB2312" w:eastAsia="仿宋_GB2312" w:hAnsiTheme="minorEastAsia"/>
          <w:color w:val="000000"/>
          <w:szCs w:val="21"/>
        </w:rPr>
      </w:pPr>
    </w:p>
    <w:p w14:paraId="0ABE1869">
      <w:pPr>
        <w:spacing w:line="576" w:lineRule="exact"/>
        <w:ind w:firstLine="420" w:firstLineChars="200"/>
        <w:rPr>
          <w:rFonts w:ascii="仿宋_GB2312" w:hAnsi="仿宋" w:eastAsia="仿宋_GB2312"/>
          <w:color w:val="000000"/>
          <w:sz w:val="32"/>
          <w:szCs w:val="32"/>
        </w:rPr>
      </w:pPr>
      <w:r>
        <w:rPr>
          <w:rFonts w:hint="eastAsia"/>
        </w:rPr>
        <w:t xml:space="preserve">  </w:t>
      </w:r>
      <w:r>
        <w:rPr>
          <w:rFonts w:hint="eastAsia" w:ascii="仿宋_GB2312" w:hAnsi="仿宋" w:eastAsia="仿宋_GB2312"/>
          <w:b/>
          <w:bCs/>
          <w:color w:val="000000"/>
          <w:sz w:val="32"/>
          <w:szCs w:val="32"/>
        </w:rPr>
        <w:t>第</w:t>
      </w:r>
      <w:r>
        <w:rPr>
          <w:rFonts w:hint="eastAsia" w:ascii="仿宋_GB2312" w:hAnsi="仿宋" w:eastAsia="仿宋_GB2312"/>
          <w:b/>
          <w:bCs/>
          <w:color w:val="000000"/>
          <w:sz w:val="32"/>
          <w:szCs w:val="32"/>
          <w:lang w:val="en-US" w:eastAsia="zh-CN"/>
        </w:rPr>
        <w:t>四十</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对已经获得雪莲杯优质工程奖称号的工程，若发现工程有严重质量问题或隐患，自治区建筑业协会要组织专家对工程进行鉴定，经鉴定确实不符合雪莲杯优质工程奖评选条件的，上报区住房和城乡建设厅取消该工程雪莲杯称号</w:t>
      </w:r>
      <w:r>
        <w:rPr>
          <w:rFonts w:ascii="仿宋_GB2312" w:hAnsi="仿宋" w:eastAsia="仿宋_GB2312"/>
          <w:color w:val="000000"/>
          <w:sz w:val="32"/>
          <w:szCs w:val="32"/>
        </w:rPr>
        <w:t>和项目经理或技术负责人证书。</w:t>
      </w:r>
    </w:p>
    <w:p w14:paraId="17EDAB4B">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第四十</w:t>
      </w:r>
      <w:r>
        <w:rPr>
          <w:rFonts w:hint="eastAsia" w:ascii="仿宋_GB2312" w:hAnsi="仿宋" w:eastAsia="仿宋_GB2312"/>
          <w:b/>
          <w:bCs/>
          <w:color w:val="000000"/>
          <w:sz w:val="32"/>
          <w:szCs w:val="32"/>
          <w:lang w:val="en-US" w:eastAsia="zh-CN"/>
        </w:rPr>
        <w:t>一</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西藏企业在区外承建的工程的评选工作，原则上参照本办法执行，具体实施办法另行规定。</w:t>
      </w:r>
    </w:p>
    <w:p w14:paraId="3F8B0345">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第四十</w:t>
      </w:r>
      <w:r>
        <w:rPr>
          <w:rFonts w:hint="eastAsia" w:ascii="仿宋_GB2312" w:hAnsi="仿宋" w:eastAsia="仿宋_GB2312"/>
          <w:b/>
          <w:bCs/>
          <w:color w:val="000000"/>
          <w:sz w:val="32"/>
          <w:szCs w:val="32"/>
          <w:lang w:val="en-US" w:eastAsia="zh-CN"/>
        </w:rPr>
        <w:t>二</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本办法由西藏自治区建筑业协会负责解释。</w:t>
      </w:r>
    </w:p>
    <w:p w14:paraId="487B42A9">
      <w:pPr>
        <w:spacing w:line="576"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第四十</w:t>
      </w:r>
      <w:r>
        <w:rPr>
          <w:rFonts w:hint="eastAsia" w:ascii="仿宋_GB2312" w:hAnsi="仿宋" w:eastAsia="仿宋_GB2312"/>
          <w:b/>
          <w:bCs/>
          <w:color w:val="000000"/>
          <w:sz w:val="32"/>
          <w:szCs w:val="32"/>
          <w:lang w:val="en-US" w:eastAsia="zh-CN"/>
        </w:rPr>
        <w:t>三</w:t>
      </w:r>
      <w:r>
        <w:rPr>
          <w:rFonts w:hint="eastAsia" w:ascii="仿宋_GB2312" w:hAnsi="仿宋" w:eastAsia="仿宋_GB2312"/>
          <w:b/>
          <w:bCs/>
          <w:color w:val="000000"/>
          <w:sz w:val="32"/>
          <w:szCs w:val="32"/>
        </w:rPr>
        <w:t>条</w:t>
      </w:r>
      <w:r>
        <w:rPr>
          <w:rFonts w:hint="eastAsia" w:ascii="仿宋_GB2312" w:hAnsi="仿宋" w:eastAsia="仿宋_GB2312"/>
          <w:color w:val="000000"/>
          <w:sz w:val="32"/>
          <w:szCs w:val="32"/>
        </w:rPr>
        <w:t xml:space="preserve"> 本办法</w:t>
      </w:r>
      <w:r>
        <w:rPr>
          <w:rFonts w:hint="eastAsia" w:ascii="仿宋_GB2312" w:hAnsi="仿宋" w:eastAsia="仿宋_GB2312"/>
          <w:color w:val="000000"/>
          <w:sz w:val="32"/>
          <w:szCs w:val="32"/>
          <w:lang w:val="en-US" w:eastAsia="zh-CN"/>
        </w:rPr>
        <w:t>自</w:t>
      </w: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月起施行，2020年修订的《‘雪莲杯’优质工程奖评选办法（试行）》（藏建质安〔2020〕72号）同时废止。</w:t>
      </w:r>
    </w:p>
    <w:p w14:paraId="398F6094">
      <w:pPr>
        <w:spacing w:line="576" w:lineRule="exact"/>
        <w:ind w:firstLine="640" w:firstLineChars="200"/>
        <w:rPr>
          <w:rFonts w:ascii="仿宋_GB2312" w:hAnsi="仿宋" w:eastAsia="仿宋_GB2312"/>
          <w:color w:val="000000"/>
          <w:sz w:val="32"/>
          <w:szCs w:val="32"/>
        </w:rPr>
      </w:pPr>
    </w:p>
    <w:p w14:paraId="598AB973">
      <w:pPr>
        <w:spacing w:line="576"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附件：</w:t>
      </w:r>
      <w:r>
        <w:fldChar w:fldCharType="begin"/>
      </w:r>
      <w:r>
        <w:instrText xml:space="preserve"> HYPERLINK "http://www.zgjzy.org/userfiles/201702091044132416-7618.doc" \t "_blank" </w:instrText>
      </w:r>
      <w:r>
        <w:fldChar w:fldCharType="separate"/>
      </w:r>
      <w:r>
        <w:rPr>
          <w:rFonts w:hint="eastAsia" w:ascii="仿宋_GB2312" w:hAnsi="仿宋" w:eastAsia="仿宋_GB2312" w:cs="Times New Roman"/>
          <w:color w:val="000000"/>
          <w:sz w:val="32"/>
          <w:szCs w:val="32"/>
        </w:rPr>
        <w:t>1.</w:t>
      </w:r>
      <w:r>
        <w:rPr>
          <w:rFonts w:hint="eastAsia" w:ascii="仿宋_GB2312" w:eastAsia="仿宋_GB2312"/>
        </w:rPr>
        <w:t xml:space="preserve"> </w:t>
      </w:r>
      <w:r>
        <w:rPr>
          <w:rFonts w:hint="eastAsia" w:ascii="仿宋_GB2312" w:hAnsi="仿宋" w:eastAsia="仿宋_GB2312" w:cs="Times New Roman"/>
          <w:color w:val="000000"/>
          <w:sz w:val="32"/>
          <w:szCs w:val="32"/>
        </w:rPr>
        <w:t>“雪莲杯”优质工程奖工程类别划分</w:t>
      </w:r>
      <w:r>
        <w:rPr>
          <w:rFonts w:hint="eastAsia" w:ascii="仿宋_GB2312" w:hAnsi="仿宋" w:eastAsia="仿宋_GB2312" w:cs="Times New Roman"/>
          <w:color w:val="000000"/>
          <w:sz w:val="32"/>
          <w:szCs w:val="32"/>
        </w:rPr>
        <w:fldChar w:fldCharType="end"/>
      </w:r>
    </w:p>
    <w:p w14:paraId="4483C094">
      <w:pPr>
        <w:spacing w:line="576" w:lineRule="exact"/>
        <w:ind w:firstLine="1600" w:firstLineChars="5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w:t>
      </w:r>
      <w:r>
        <w:fldChar w:fldCharType="begin"/>
      </w:r>
      <w:r>
        <w:instrText xml:space="preserve"> HYPERLINK "http://www.zgjzy.org/userfiles/201702091044306166-8876.doc" \t "_blank" </w:instrText>
      </w:r>
      <w:r>
        <w:fldChar w:fldCharType="separate"/>
      </w:r>
      <w:r>
        <w:rPr>
          <w:rFonts w:hint="eastAsia" w:ascii="仿宋_GB2312" w:hAnsi="仿宋" w:eastAsia="仿宋_GB2312" w:cs="Times New Roman"/>
          <w:color w:val="000000"/>
          <w:sz w:val="32"/>
          <w:szCs w:val="32"/>
        </w:rPr>
        <w:t>“雪莲杯”优质工程奖申报工程规模要求</w:t>
      </w:r>
      <w:r>
        <w:rPr>
          <w:rFonts w:hint="eastAsia" w:ascii="仿宋_GB2312" w:hAnsi="仿宋" w:eastAsia="仿宋_GB2312" w:cs="Times New Roman"/>
          <w:color w:val="000000"/>
          <w:sz w:val="32"/>
          <w:szCs w:val="32"/>
        </w:rPr>
        <w:fldChar w:fldCharType="end"/>
      </w:r>
    </w:p>
    <w:p w14:paraId="034BEBBC">
      <w:pPr>
        <w:adjustRightInd w:val="0"/>
        <w:snapToGrid w:val="0"/>
        <w:spacing w:line="576" w:lineRule="exact"/>
        <w:rPr>
          <w:rFonts w:ascii="仿宋_GB2312" w:eastAsia="仿宋_GB2312" w:hAnsiTheme="minorEastAsia"/>
          <w:color w:val="000000"/>
          <w:sz w:val="28"/>
          <w:szCs w:val="28"/>
        </w:rPr>
      </w:pPr>
    </w:p>
    <w:p w14:paraId="71DE0BFD">
      <w:pPr>
        <w:adjustRightInd w:val="0"/>
        <w:snapToGrid w:val="0"/>
        <w:spacing w:line="576" w:lineRule="exact"/>
        <w:rPr>
          <w:rFonts w:hint="eastAsia" w:ascii="仿宋_GB2312" w:eastAsia="仿宋_GB2312" w:hAnsiTheme="minorEastAsia"/>
          <w:color w:val="000000"/>
          <w:sz w:val="28"/>
          <w:szCs w:val="28"/>
        </w:rPr>
      </w:pPr>
    </w:p>
    <w:p w14:paraId="450BE85F">
      <w:pPr>
        <w:adjustRightInd w:val="0"/>
        <w:snapToGrid w:val="0"/>
        <w:spacing w:line="576" w:lineRule="exact"/>
        <w:rPr>
          <w:rFonts w:hint="eastAsia" w:ascii="仿宋_GB2312" w:eastAsia="仿宋_GB2312" w:hAnsiTheme="minorEastAsia"/>
          <w:color w:val="000000"/>
          <w:sz w:val="28"/>
          <w:szCs w:val="28"/>
        </w:rPr>
      </w:pPr>
    </w:p>
    <w:p w14:paraId="461E73C8">
      <w:pPr>
        <w:adjustRightInd w:val="0"/>
        <w:snapToGrid w:val="0"/>
        <w:spacing w:line="576" w:lineRule="exact"/>
        <w:rPr>
          <w:rFonts w:hint="eastAsia" w:ascii="仿宋_GB2312" w:eastAsia="仿宋_GB2312" w:hAnsiTheme="minorEastAsia"/>
          <w:color w:val="000000"/>
          <w:sz w:val="28"/>
          <w:szCs w:val="28"/>
        </w:rPr>
      </w:pPr>
    </w:p>
    <w:p w14:paraId="50CCFF0A">
      <w:pPr>
        <w:adjustRightInd w:val="0"/>
        <w:snapToGrid w:val="0"/>
        <w:spacing w:line="576" w:lineRule="exact"/>
        <w:rPr>
          <w:rFonts w:ascii="仿宋_GB2312" w:eastAsia="仿宋_GB2312" w:hAnsiTheme="minorEastAsia"/>
          <w:color w:val="000000"/>
          <w:sz w:val="28"/>
          <w:szCs w:val="28"/>
        </w:rPr>
      </w:pPr>
    </w:p>
    <w:p w14:paraId="6577869E">
      <w:pPr>
        <w:adjustRightInd w:val="0"/>
        <w:snapToGrid w:val="0"/>
        <w:spacing w:line="576" w:lineRule="exact"/>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附件1：</w:t>
      </w:r>
    </w:p>
    <w:p w14:paraId="0988F6CF">
      <w:pPr>
        <w:adjustRightInd w:val="0"/>
        <w:snapToGrid w:val="0"/>
        <w:spacing w:line="576" w:lineRule="exact"/>
        <w:jc w:val="center"/>
        <w:rPr>
          <w:rFonts w:ascii="黑体" w:hAnsi="黑体" w:eastAsia="黑体"/>
          <w:color w:val="000000"/>
          <w:sz w:val="44"/>
          <w:szCs w:val="44"/>
        </w:rPr>
      </w:pPr>
      <w:r>
        <w:rPr>
          <w:rFonts w:hint="eastAsia" w:ascii="黑体" w:hAnsi="黑体" w:eastAsia="黑体"/>
          <w:color w:val="000000"/>
          <w:sz w:val="44"/>
          <w:szCs w:val="44"/>
        </w:rPr>
        <w:t>“雪莲杯”优质工程奖工程类别划分</w:t>
      </w:r>
    </w:p>
    <w:p w14:paraId="42AA6429">
      <w:pPr>
        <w:adjustRightInd w:val="0"/>
        <w:snapToGrid w:val="0"/>
        <w:spacing w:line="576" w:lineRule="exact"/>
        <w:rPr>
          <w:rFonts w:ascii="仿宋_GB2312" w:hAnsi="黑体" w:eastAsia="仿宋_GB2312"/>
          <w:color w:val="000000"/>
          <w:sz w:val="44"/>
          <w:szCs w:val="44"/>
        </w:rPr>
      </w:pPr>
    </w:p>
    <w:p w14:paraId="0E43FD07">
      <w:pPr>
        <w:adjustRightInd w:val="0"/>
        <w:snapToGrid w:val="0"/>
        <w:spacing w:line="576" w:lineRule="exact"/>
        <w:ind w:firstLine="627" w:firstLineChars="196"/>
        <w:rPr>
          <w:rFonts w:ascii="楷体_GB2312" w:hAnsi="仿宋" w:eastAsia="楷体_GB2312"/>
          <w:color w:val="000000"/>
          <w:sz w:val="32"/>
          <w:szCs w:val="32"/>
        </w:rPr>
      </w:pPr>
      <w:r>
        <w:rPr>
          <w:rFonts w:hint="eastAsia" w:ascii="楷体_GB2312" w:hAnsi="仿宋" w:eastAsia="楷体_GB2312"/>
          <w:color w:val="000000"/>
          <w:sz w:val="32"/>
          <w:szCs w:val="32"/>
        </w:rPr>
        <w:t>（一）住宅工程</w:t>
      </w:r>
    </w:p>
    <w:p w14:paraId="29043CA4">
      <w:pPr>
        <w:adjustRightInd w:val="0"/>
        <w:snapToGrid w:val="0"/>
        <w:spacing w:line="576"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住宅工程包括住宅小区、公寓、单体住宅、群体住宅和以住宅为主的综合楼等工程。</w:t>
      </w:r>
    </w:p>
    <w:p w14:paraId="6D334FC4">
      <w:pPr>
        <w:adjustRightInd w:val="0"/>
        <w:snapToGrid w:val="0"/>
        <w:spacing w:line="576" w:lineRule="exact"/>
        <w:ind w:firstLine="627" w:firstLineChars="196"/>
        <w:rPr>
          <w:rFonts w:ascii="楷体_GB2312" w:hAnsi="仿宋" w:eastAsia="楷体_GB2312"/>
          <w:color w:val="000000"/>
          <w:sz w:val="32"/>
          <w:szCs w:val="32"/>
        </w:rPr>
      </w:pPr>
      <w:r>
        <w:rPr>
          <w:rFonts w:hint="eastAsia" w:ascii="楷体_GB2312" w:hAnsi="仿宋" w:eastAsia="楷体_GB2312"/>
          <w:color w:val="000000"/>
          <w:sz w:val="32"/>
          <w:szCs w:val="32"/>
        </w:rPr>
        <w:t>（二）公共建筑工程</w:t>
      </w:r>
    </w:p>
    <w:p w14:paraId="7B203B38">
      <w:pPr>
        <w:adjustRightInd w:val="0"/>
        <w:snapToGrid w:val="0"/>
        <w:spacing w:line="576"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公共建筑工程包括教育科研、商业服务、医疗福利、文化娱乐、旅游服务、体育、邮电、客运、办公、会展、广场及纪念性等工程。</w:t>
      </w:r>
    </w:p>
    <w:p w14:paraId="19CC80DA">
      <w:pPr>
        <w:adjustRightInd w:val="0"/>
        <w:snapToGrid w:val="0"/>
        <w:spacing w:line="576" w:lineRule="exact"/>
        <w:ind w:firstLine="627" w:firstLineChars="196"/>
        <w:rPr>
          <w:rFonts w:ascii="楷体_GB2312" w:hAnsi="仿宋" w:eastAsia="楷体_GB2312"/>
          <w:color w:val="000000"/>
          <w:sz w:val="32"/>
          <w:szCs w:val="32"/>
        </w:rPr>
      </w:pPr>
      <w:r>
        <w:rPr>
          <w:rFonts w:hint="eastAsia" w:ascii="楷体_GB2312" w:hAnsi="仿宋" w:eastAsia="楷体_GB2312"/>
          <w:color w:val="000000"/>
          <w:sz w:val="32"/>
          <w:szCs w:val="32"/>
        </w:rPr>
        <w:t>（三）交通、水利、电力、工业工程</w:t>
      </w:r>
    </w:p>
    <w:p w14:paraId="00535B17">
      <w:pPr>
        <w:adjustRightInd w:val="0"/>
        <w:snapToGrid w:val="0"/>
        <w:spacing w:line="576"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交通工程包括公路和铁路的线路、桥梁、隧道，铁路编组站，货运码头、港口，水运船闸、航道、造船厂，机场场道、货运站等工程;</w:t>
      </w:r>
    </w:p>
    <w:p w14:paraId="41286822">
      <w:pPr>
        <w:adjustRightInd w:val="0"/>
        <w:snapToGrid w:val="0"/>
        <w:spacing w:line="576"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水利工程包括水坝、水闸、引水、灌溉及排水泵站、堤防等工程;</w:t>
      </w:r>
    </w:p>
    <w:p w14:paraId="3973E09E">
      <w:pPr>
        <w:adjustRightInd w:val="0"/>
        <w:snapToGrid w:val="0"/>
        <w:spacing w:line="576" w:lineRule="exact"/>
        <w:ind w:firstLine="627" w:firstLineChars="196"/>
        <w:rPr>
          <w:rFonts w:ascii="仿宋_GB2312" w:hAnsi="仿宋" w:eastAsia="仿宋_GB2312"/>
          <w:sz w:val="32"/>
          <w:szCs w:val="32"/>
        </w:rPr>
      </w:pPr>
      <w:r>
        <w:rPr>
          <w:rFonts w:hint="eastAsia" w:ascii="仿宋_GB2312" w:hAnsi="仿宋" w:eastAsia="仿宋_GB2312"/>
          <w:sz w:val="32"/>
          <w:szCs w:val="32"/>
        </w:rPr>
        <w:t>电力工程包括火力发电、水力发电、核能发电、风电、太阳能及其它能源发电、输配电等工程及其配套工程;</w:t>
      </w:r>
    </w:p>
    <w:p w14:paraId="78BB2A41">
      <w:pPr>
        <w:adjustRightInd w:val="0"/>
        <w:snapToGrid w:val="0"/>
        <w:spacing w:line="576" w:lineRule="exact"/>
        <w:ind w:firstLine="627" w:firstLineChars="196"/>
        <w:rPr>
          <w:rFonts w:ascii="仿宋_GB2312" w:hAnsi="仿宋" w:eastAsia="仿宋_GB2312"/>
          <w:sz w:val="32"/>
          <w:szCs w:val="32"/>
        </w:rPr>
      </w:pPr>
      <w:r>
        <w:rPr>
          <w:rFonts w:hint="eastAsia" w:ascii="仿宋_GB2312" w:hAnsi="仿宋" w:eastAsia="仿宋_GB2312"/>
          <w:sz w:val="32"/>
          <w:szCs w:val="32"/>
        </w:rPr>
        <w:t>工业工程包括钢铁、有色金属、煤炭、石油、石化、化工、机械、建材、核工业、机电、轻纺等工程。</w:t>
      </w:r>
    </w:p>
    <w:p w14:paraId="0D8207AE">
      <w:pPr>
        <w:adjustRightInd w:val="0"/>
        <w:snapToGrid w:val="0"/>
        <w:spacing w:line="576" w:lineRule="exact"/>
        <w:ind w:firstLine="627" w:firstLineChars="196"/>
        <w:rPr>
          <w:rFonts w:ascii="楷体_GB2312" w:hAnsi="仿宋" w:eastAsia="楷体_GB2312"/>
          <w:color w:val="000000"/>
          <w:sz w:val="32"/>
          <w:szCs w:val="32"/>
        </w:rPr>
      </w:pPr>
      <w:r>
        <w:rPr>
          <w:rFonts w:hint="eastAsia" w:ascii="楷体_GB2312" w:hAnsi="仿宋" w:eastAsia="楷体_GB2312"/>
          <w:color w:val="000000"/>
          <w:sz w:val="32"/>
          <w:szCs w:val="32"/>
        </w:rPr>
        <w:t>（四）市政、园林工程</w:t>
      </w:r>
    </w:p>
    <w:p w14:paraId="7C1B6D9A">
      <w:pPr>
        <w:adjustRightInd w:val="0"/>
        <w:snapToGrid w:val="0"/>
        <w:spacing w:line="576"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市政园林工程包括城市道路、隧道、桥梁、公共交通设施、供气、供暖、给水、排水、水处理、公园、动物园、植物园等工程。</w:t>
      </w:r>
    </w:p>
    <w:p w14:paraId="2E362B60">
      <w:pPr>
        <w:adjustRightInd w:val="0"/>
        <w:snapToGrid w:val="0"/>
        <w:spacing w:line="576" w:lineRule="exact"/>
        <w:rPr>
          <w:rFonts w:ascii="仿宋_GB2312" w:eastAsia="仿宋_GB2312" w:hAnsiTheme="minorEastAsia"/>
          <w:color w:val="000000"/>
          <w:sz w:val="28"/>
          <w:szCs w:val="28"/>
        </w:rPr>
      </w:pPr>
    </w:p>
    <w:p w14:paraId="787F5E09">
      <w:pPr>
        <w:adjustRightInd w:val="0"/>
        <w:snapToGrid w:val="0"/>
        <w:spacing w:line="576" w:lineRule="exact"/>
        <w:rPr>
          <w:rFonts w:hint="eastAsia" w:ascii="仿宋_GB2312" w:eastAsia="仿宋_GB2312" w:hAnsiTheme="minorEastAsia"/>
          <w:color w:val="000000"/>
          <w:sz w:val="28"/>
          <w:szCs w:val="28"/>
        </w:rPr>
      </w:pPr>
    </w:p>
    <w:p w14:paraId="1E3D70A0">
      <w:pPr>
        <w:adjustRightInd w:val="0"/>
        <w:snapToGrid w:val="0"/>
        <w:spacing w:line="576" w:lineRule="exact"/>
        <w:rPr>
          <w:rFonts w:hint="eastAsia" w:ascii="仿宋_GB2312" w:eastAsia="仿宋_GB2312" w:hAnsiTheme="minorEastAsia"/>
          <w:color w:val="000000"/>
          <w:sz w:val="28"/>
          <w:szCs w:val="28"/>
        </w:rPr>
      </w:pPr>
    </w:p>
    <w:p w14:paraId="3178A78D">
      <w:pPr>
        <w:adjustRightInd w:val="0"/>
        <w:snapToGrid w:val="0"/>
        <w:spacing w:line="576" w:lineRule="exact"/>
        <w:rPr>
          <w:rFonts w:hint="eastAsia" w:ascii="仿宋_GB2312" w:eastAsia="仿宋_GB2312" w:hAnsiTheme="minorEastAsia"/>
          <w:color w:val="000000"/>
          <w:sz w:val="28"/>
          <w:szCs w:val="28"/>
        </w:rPr>
      </w:pPr>
    </w:p>
    <w:p w14:paraId="7CA95FBB">
      <w:pPr>
        <w:adjustRightInd w:val="0"/>
        <w:snapToGrid w:val="0"/>
        <w:spacing w:line="576" w:lineRule="exact"/>
        <w:rPr>
          <w:rFonts w:hint="eastAsia" w:ascii="仿宋_GB2312" w:eastAsia="仿宋_GB2312" w:hAnsiTheme="minorEastAsia"/>
          <w:color w:val="000000"/>
          <w:sz w:val="28"/>
          <w:szCs w:val="28"/>
        </w:rPr>
      </w:pPr>
    </w:p>
    <w:p w14:paraId="7F31FC4C">
      <w:pPr>
        <w:adjustRightInd w:val="0"/>
        <w:snapToGrid w:val="0"/>
        <w:spacing w:line="576" w:lineRule="exact"/>
        <w:rPr>
          <w:rFonts w:hint="eastAsia" w:ascii="仿宋_GB2312" w:eastAsia="仿宋_GB2312" w:hAnsiTheme="minorEastAsia"/>
          <w:color w:val="000000"/>
          <w:sz w:val="28"/>
          <w:szCs w:val="28"/>
        </w:rPr>
      </w:pPr>
    </w:p>
    <w:p w14:paraId="50069891">
      <w:pPr>
        <w:adjustRightInd w:val="0"/>
        <w:snapToGrid w:val="0"/>
        <w:spacing w:line="576" w:lineRule="exact"/>
        <w:rPr>
          <w:rFonts w:hint="eastAsia" w:ascii="仿宋_GB2312" w:eastAsia="仿宋_GB2312" w:hAnsiTheme="minorEastAsia"/>
          <w:color w:val="000000"/>
          <w:sz w:val="28"/>
          <w:szCs w:val="28"/>
        </w:rPr>
      </w:pPr>
    </w:p>
    <w:p w14:paraId="4742E82B">
      <w:pPr>
        <w:adjustRightInd w:val="0"/>
        <w:snapToGrid w:val="0"/>
        <w:spacing w:line="576" w:lineRule="exact"/>
        <w:rPr>
          <w:rFonts w:hint="eastAsia" w:ascii="仿宋_GB2312" w:eastAsia="仿宋_GB2312" w:hAnsiTheme="minorEastAsia"/>
          <w:color w:val="000000"/>
          <w:sz w:val="28"/>
          <w:szCs w:val="28"/>
        </w:rPr>
      </w:pPr>
    </w:p>
    <w:p w14:paraId="0EE5FE64">
      <w:pPr>
        <w:adjustRightInd w:val="0"/>
        <w:snapToGrid w:val="0"/>
        <w:spacing w:line="576" w:lineRule="exact"/>
        <w:rPr>
          <w:rFonts w:hint="eastAsia" w:ascii="仿宋_GB2312" w:eastAsia="仿宋_GB2312" w:hAnsiTheme="minorEastAsia"/>
          <w:color w:val="000000"/>
          <w:sz w:val="28"/>
          <w:szCs w:val="28"/>
        </w:rPr>
      </w:pPr>
    </w:p>
    <w:p w14:paraId="639340CC">
      <w:pPr>
        <w:adjustRightInd w:val="0"/>
        <w:snapToGrid w:val="0"/>
        <w:spacing w:line="576" w:lineRule="exact"/>
        <w:rPr>
          <w:rFonts w:hint="eastAsia" w:ascii="仿宋_GB2312" w:eastAsia="仿宋_GB2312" w:hAnsiTheme="minorEastAsia"/>
          <w:color w:val="000000"/>
          <w:sz w:val="28"/>
          <w:szCs w:val="28"/>
        </w:rPr>
      </w:pPr>
    </w:p>
    <w:p w14:paraId="479F50C8">
      <w:pPr>
        <w:adjustRightInd w:val="0"/>
        <w:snapToGrid w:val="0"/>
        <w:spacing w:line="576" w:lineRule="exact"/>
        <w:rPr>
          <w:rFonts w:hint="eastAsia" w:ascii="仿宋_GB2312" w:eastAsia="仿宋_GB2312" w:hAnsiTheme="minorEastAsia"/>
          <w:color w:val="000000"/>
          <w:sz w:val="28"/>
          <w:szCs w:val="28"/>
        </w:rPr>
      </w:pPr>
    </w:p>
    <w:p w14:paraId="3F2DC93C">
      <w:pPr>
        <w:adjustRightInd w:val="0"/>
        <w:snapToGrid w:val="0"/>
        <w:spacing w:line="576" w:lineRule="exact"/>
        <w:rPr>
          <w:rFonts w:hint="eastAsia" w:ascii="仿宋_GB2312" w:eastAsia="仿宋_GB2312" w:hAnsiTheme="minorEastAsia"/>
          <w:color w:val="000000"/>
          <w:sz w:val="28"/>
          <w:szCs w:val="28"/>
        </w:rPr>
      </w:pPr>
    </w:p>
    <w:p w14:paraId="2634834F">
      <w:pPr>
        <w:adjustRightInd w:val="0"/>
        <w:snapToGrid w:val="0"/>
        <w:spacing w:line="576" w:lineRule="exact"/>
        <w:rPr>
          <w:rFonts w:hint="eastAsia" w:ascii="仿宋_GB2312" w:eastAsia="仿宋_GB2312" w:hAnsiTheme="minorEastAsia"/>
          <w:color w:val="000000"/>
          <w:sz w:val="28"/>
          <w:szCs w:val="28"/>
        </w:rPr>
      </w:pPr>
    </w:p>
    <w:p w14:paraId="24FCF1F9">
      <w:pPr>
        <w:adjustRightInd w:val="0"/>
        <w:snapToGrid w:val="0"/>
        <w:spacing w:line="576" w:lineRule="exact"/>
        <w:rPr>
          <w:rFonts w:hint="eastAsia" w:ascii="仿宋_GB2312" w:eastAsia="仿宋_GB2312" w:hAnsiTheme="minorEastAsia"/>
          <w:color w:val="000000"/>
          <w:sz w:val="28"/>
          <w:szCs w:val="28"/>
        </w:rPr>
      </w:pPr>
    </w:p>
    <w:p w14:paraId="17965FB8">
      <w:pPr>
        <w:adjustRightInd w:val="0"/>
        <w:snapToGrid w:val="0"/>
        <w:spacing w:line="576" w:lineRule="exact"/>
        <w:rPr>
          <w:rFonts w:hint="eastAsia" w:ascii="仿宋_GB2312" w:eastAsia="仿宋_GB2312" w:hAnsiTheme="minorEastAsia"/>
          <w:color w:val="000000"/>
          <w:sz w:val="28"/>
          <w:szCs w:val="28"/>
        </w:rPr>
      </w:pPr>
    </w:p>
    <w:p w14:paraId="4DCD2FBF">
      <w:pPr>
        <w:adjustRightInd w:val="0"/>
        <w:snapToGrid w:val="0"/>
        <w:spacing w:line="576" w:lineRule="exact"/>
        <w:rPr>
          <w:rFonts w:hint="eastAsia" w:ascii="仿宋_GB2312" w:eastAsia="仿宋_GB2312" w:hAnsiTheme="minorEastAsia"/>
          <w:color w:val="000000"/>
          <w:sz w:val="28"/>
          <w:szCs w:val="28"/>
        </w:rPr>
      </w:pPr>
    </w:p>
    <w:p w14:paraId="1FC4F10D">
      <w:pPr>
        <w:adjustRightInd w:val="0"/>
        <w:snapToGrid w:val="0"/>
        <w:spacing w:line="576" w:lineRule="exact"/>
        <w:rPr>
          <w:rFonts w:hint="eastAsia" w:ascii="仿宋_GB2312" w:eastAsia="仿宋_GB2312" w:hAnsiTheme="minorEastAsia"/>
          <w:color w:val="000000"/>
          <w:sz w:val="28"/>
          <w:szCs w:val="28"/>
        </w:rPr>
      </w:pPr>
    </w:p>
    <w:p w14:paraId="7650E8F2">
      <w:pPr>
        <w:adjustRightInd w:val="0"/>
        <w:snapToGrid w:val="0"/>
        <w:spacing w:line="576" w:lineRule="exact"/>
        <w:rPr>
          <w:rFonts w:hint="eastAsia" w:ascii="仿宋_GB2312" w:eastAsia="仿宋_GB2312" w:hAnsiTheme="minorEastAsia"/>
          <w:color w:val="000000"/>
          <w:sz w:val="28"/>
          <w:szCs w:val="28"/>
        </w:rPr>
      </w:pPr>
    </w:p>
    <w:p w14:paraId="49A03D52">
      <w:pPr>
        <w:adjustRightInd w:val="0"/>
        <w:snapToGrid w:val="0"/>
        <w:spacing w:line="576" w:lineRule="exact"/>
        <w:rPr>
          <w:rFonts w:hint="eastAsia" w:ascii="仿宋_GB2312" w:eastAsia="仿宋_GB2312" w:hAnsiTheme="minorEastAsia"/>
          <w:color w:val="000000"/>
          <w:sz w:val="28"/>
          <w:szCs w:val="28"/>
        </w:rPr>
      </w:pPr>
    </w:p>
    <w:p w14:paraId="19067793">
      <w:pPr>
        <w:adjustRightInd w:val="0"/>
        <w:snapToGrid w:val="0"/>
        <w:spacing w:line="576" w:lineRule="exact"/>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附件2：</w:t>
      </w:r>
    </w:p>
    <w:p w14:paraId="02A52689">
      <w:pPr>
        <w:tabs>
          <w:tab w:val="left" w:pos="6412"/>
        </w:tabs>
        <w:adjustRightInd w:val="0"/>
        <w:snapToGrid w:val="0"/>
        <w:spacing w:line="576" w:lineRule="exact"/>
        <w:jc w:val="center"/>
        <w:rPr>
          <w:rFonts w:hint="eastAsia" w:ascii="黑体" w:hAnsi="黑体" w:eastAsia="黑体" w:cs="Times New Roman"/>
          <w:color w:val="000000"/>
          <w:sz w:val="30"/>
          <w:szCs w:val="30"/>
        </w:rPr>
      </w:pPr>
      <w:r>
        <w:fldChar w:fldCharType="begin"/>
      </w:r>
      <w:r>
        <w:instrText xml:space="preserve"> HYPERLINK "http://www.zgjzy.org/userfiles/201702091044306166-8876.doc" \t "_blank" </w:instrText>
      </w:r>
      <w:r>
        <w:fldChar w:fldCharType="separate"/>
      </w:r>
      <w:r>
        <w:rPr>
          <w:rFonts w:hint="eastAsia" w:ascii="黑体" w:hAnsi="黑体" w:eastAsia="黑体" w:cs="Times New Roman"/>
          <w:color w:val="000000"/>
          <w:sz w:val="44"/>
          <w:szCs w:val="44"/>
        </w:rPr>
        <w:t>“雪莲杯”优质工程奖申报工程规模要求</w:t>
      </w:r>
      <w:r>
        <w:rPr>
          <w:rFonts w:hint="eastAsia" w:ascii="黑体" w:hAnsi="黑体" w:eastAsia="黑体" w:cs="Times New Roman"/>
          <w:color w:val="000000"/>
          <w:sz w:val="44"/>
          <w:szCs w:val="44"/>
        </w:rPr>
        <w:fldChar w:fldCharType="end"/>
      </w:r>
    </w:p>
    <w:p w14:paraId="3399A085">
      <w:pPr>
        <w:tabs>
          <w:tab w:val="left" w:pos="6412"/>
        </w:tabs>
        <w:adjustRightInd w:val="0"/>
        <w:snapToGrid w:val="0"/>
        <w:spacing w:line="576" w:lineRule="exact"/>
        <w:jc w:val="center"/>
        <w:rPr>
          <w:rFonts w:hint="eastAsia" w:ascii="黑体" w:hAnsi="黑体" w:eastAsia="黑体" w:cs="Times New Roman"/>
          <w:color w:val="000000"/>
          <w:sz w:val="30"/>
          <w:szCs w:val="30"/>
        </w:rPr>
      </w:pPr>
    </w:p>
    <w:p w14:paraId="5B2651B8">
      <w:pPr>
        <w:adjustRightInd w:val="0"/>
        <w:snapToGrid w:val="0"/>
        <w:spacing w:line="576" w:lineRule="exact"/>
        <w:ind w:firstLine="627" w:firstLineChars="196"/>
        <w:rPr>
          <w:rFonts w:ascii="楷体_GB2312" w:hAnsi="楷体" w:eastAsia="楷体_GB2312"/>
          <w:color w:val="000000"/>
          <w:sz w:val="32"/>
          <w:szCs w:val="32"/>
        </w:rPr>
      </w:pPr>
      <w:r>
        <w:rPr>
          <w:rFonts w:hint="eastAsia" w:ascii="楷体_GB2312" w:hAnsi="楷体" w:eastAsia="楷体_GB2312"/>
          <w:color w:val="000000"/>
          <w:sz w:val="32"/>
          <w:szCs w:val="32"/>
        </w:rPr>
        <w:t>一、住宅工程</w:t>
      </w:r>
    </w:p>
    <w:p w14:paraId="030B5E88">
      <w:pPr>
        <w:spacing w:line="576"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（一）建筑面积2万平方米以上的住宅小区或住宅小区组团；</w:t>
      </w:r>
    </w:p>
    <w:p w14:paraId="13DF9EFC">
      <w:pPr>
        <w:spacing w:line="576"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（二）非住宅小区内的建筑面积为5000平方米以上的单体住宅；</w:t>
      </w:r>
    </w:p>
    <w:p w14:paraId="3A4B69C9">
      <w:pPr>
        <w:spacing w:line="576"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偏远地区县级及以下规模可下调10%。</w:t>
      </w:r>
    </w:p>
    <w:p w14:paraId="51FF473A">
      <w:pPr>
        <w:adjustRightInd w:val="0"/>
        <w:snapToGrid w:val="0"/>
        <w:spacing w:line="576" w:lineRule="exact"/>
        <w:ind w:firstLine="627" w:firstLineChars="196"/>
        <w:rPr>
          <w:rFonts w:ascii="楷体_GB2312" w:hAnsi="楷体" w:eastAsia="楷体_GB2312"/>
          <w:color w:val="000000"/>
          <w:sz w:val="32"/>
          <w:szCs w:val="32"/>
        </w:rPr>
      </w:pPr>
      <w:r>
        <w:rPr>
          <w:rFonts w:hint="eastAsia" w:ascii="楷体_GB2312" w:hAnsi="楷体" w:eastAsia="楷体_GB2312"/>
          <w:color w:val="000000"/>
          <w:sz w:val="32"/>
          <w:szCs w:val="32"/>
        </w:rPr>
        <w:t>二、公共建筑工程</w:t>
      </w:r>
    </w:p>
    <w:p w14:paraId="1AB03093">
      <w:pPr>
        <w:adjustRightInd w:val="0"/>
        <w:snapToGrid w:val="0"/>
        <w:spacing w:line="576" w:lineRule="exact"/>
        <w:ind w:firstLine="627" w:firstLineChars="196"/>
        <w:rPr>
          <w:rFonts w:ascii="仿宋_GB2312" w:hAnsi="仿宋" w:eastAsia="仿宋_GB2312"/>
          <w:sz w:val="32"/>
          <w:szCs w:val="32"/>
        </w:rPr>
      </w:pPr>
      <w:r>
        <w:rPr>
          <w:rFonts w:hint="eastAsia" w:ascii="仿宋_GB2312" w:hAnsi="仿宋" w:eastAsia="仿宋_GB2312"/>
          <w:sz w:val="32"/>
          <w:szCs w:val="32"/>
        </w:rPr>
        <w:t>（一）5000座以上的体育场；</w:t>
      </w:r>
    </w:p>
    <w:p w14:paraId="3CDB0793">
      <w:pPr>
        <w:adjustRightInd w:val="0"/>
        <w:snapToGrid w:val="0"/>
        <w:spacing w:line="576" w:lineRule="exact"/>
        <w:ind w:firstLine="627" w:firstLineChars="196"/>
        <w:rPr>
          <w:rFonts w:ascii="仿宋_GB2312" w:hAnsi="仿宋" w:eastAsia="仿宋_GB2312"/>
          <w:sz w:val="32"/>
          <w:szCs w:val="32"/>
        </w:rPr>
      </w:pPr>
      <w:r>
        <w:rPr>
          <w:rFonts w:hint="eastAsia" w:ascii="仿宋_GB2312" w:hAnsi="仿宋" w:eastAsia="仿宋_GB2312"/>
          <w:sz w:val="32"/>
          <w:szCs w:val="32"/>
        </w:rPr>
        <w:t>（二）2000座以上的体育馆；</w:t>
      </w:r>
    </w:p>
    <w:p w14:paraId="076E5157">
      <w:pPr>
        <w:adjustRightInd w:val="0"/>
        <w:snapToGrid w:val="0"/>
        <w:spacing w:line="576" w:lineRule="exact"/>
        <w:ind w:firstLine="627" w:firstLineChars="196"/>
        <w:rPr>
          <w:rFonts w:ascii="仿宋_GB2312" w:hAnsi="仿宋" w:eastAsia="仿宋_GB2312"/>
          <w:sz w:val="32"/>
          <w:szCs w:val="32"/>
        </w:rPr>
      </w:pPr>
      <w:r>
        <w:rPr>
          <w:rFonts w:hint="eastAsia" w:ascii="仿宋_GB2312" w:hAnsi="仿宋" w:eastAsia="仿宋_GB2312"/>
          <w:sz w:val="32"/>
          <w:szCs w:val="32"/>
        </w:rPr>
        <w:t>（三）500座以上的游泳馆；</w:t>
      </w:r>
    </w:p>
    <w:p w14:paraId="7DB8FBBC">
      <w:pPr>
        <w:adjustRightInd w:val="0"/>
        <w:snapToGrid w:val="0"/>
        <w:spacing w:line="576" w:lineRule="exact"/>
        <w:ind w:firstLine="627" w:firstLineChars="196"/>
        <w:rPr>
          <w:rFonts w:ascii="仿宋_GB2312" w:hAnsi="仿宋" w:eastAsia="仿宋_GB2312"/>
          <w:sz w:val="32"/>
          <w:szCs w:val="32"/>
        </w:rPr>
      </w:pPr>
      <w:r>
        <w:rPr>
          <w:rFonts w:hint="eastAsia" w:ascii="仿宋_GB2312" w:hAnsi="仿宋" w:eastAsia="仿宋_GB2312"/>
          <w:sz w:val="32"/>
          <w:szCs w:val="32"/>
        </w:rPr>
        <w:t>（四）500座以上的影剧院；</w:t>
      </w:r>
    </w:p>
    <w:p w14:paraId="6DDCB0E2">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（五）建筑面积500平方米以上的单体或2000平方米以上的群体古建筑重建工程；</w:t>
      </w:r>
    </w:p>
    <w:p w14:paraId="6E5B5699">
      <w:pPr>
        <w:numPr>
          <w:ilvl w:val="0"/>
          <w:numId w:val="3"/>
        </w:num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建筑面积10000平方米以上的学校、医院、科研等群体建筑工程；</w:t>
      </w:r>
    </w:p>
    <w:p w14:paraId="40DC5BD1">
      <w:pPr>
        <w:numPr>
          <w:ilvl w:val="0"/>
          <w:numId w:val="3"/>
        </w:num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上述（一）至（五）项未列入的，建筑面积8000平方米以上的其他单体公共建筑工程；</w:t>
      </w:r>
    </w:p>
    <w:p w14:paraId="74285E74">
      <w:pPr>
        <w:adjustRightInd w:val="0"/>
        <w:snapToGrid w:val="0"/>
        <w:spacing w:line="576" w:lineRule="exact"/>
        <w:ind w:left="420" w:leftChars="200" w:firstLine="320" w:firstLineChars="100"/>
        <w:rPr>
          <w:rFonts w:ascii="仿宋_GB2312" w:hAnsi="仿宋" w:eastAsia="仿宋_GB2312"/>
          <w:sz w:val="32"/>
          <w:szCs w:val="32"/>
        </w:rPr>
      </w:pPr>
      <w:r>
        <w:rPr>
          <w:rFonts w:hint="eastAsia" w:ascii="仿宋_GB2312" w:hAnsi="仿宋" w:eastAsia="仿宋_GB2312"/>
          <w:sz w:val="32"/>
          <w:szCs w:val="32"/>
        </w:rPr>
        <w:t>偏远地区县级及以下规模可下调10%。</w:t>
      </w:r>
    </w:p>
    <w:p w14:paraId="7DD4F887">
      <w:pPr>
        <w:adjustRightInd w:val="0"/>
        <w:snapToGrid w:val="0"/>
        <w:spacing w:line="576" w:lineRule="exact"/>
        <w:ind w:firstLine="640" w:firstLineChars="200"/>
        <w:rPr>
          <w:rFonts w:ascii="楷体_GB2312" w:hAnsi="楷体" w:eastAsia="楷体_GB2312"/>
          <w:color w:val="000000"/>
          <w:sz w:val="32"/>
          <w:szCs w:val="32"/>
        </w:rPr>
      </w:pPr>
      <w:r>
        <w:rPr>
          <w:rFonts w:hint="eastAsia" w:ascii="楷体_GB2312" w:hAnsi="楷体" w:eastAsia="楷体_GB2312"/>
          <w:color w:val="000000"/>
          <w:sz w:val="32"/>
          <w:szCs w:val="32"/>
        </w:rPr>
        <w:t>三、交通、水利、电力、工业工程</w:t>
      </w:r>
    </w:p>
    <w:p w14:paraId="55BC071B">
      <w:pPr>
        <w:adjustRightInd w:val="0"/>
        <w:snapToGrid w:val="0"/>
        <w:spacing w:line="576"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（一）交通工程</w:t>
      </w:r>
    </w:p>
    <w:p w14:paraId="266502FB">
      <w:pPr>
        <w:adjustRightInd w:val="0"/>
        <w:snapToGrid w:val="0"/>
        <w:spacing w:line="576" w:lineRule="exact"/>
        <w:ind w:left="420" w:leftChars="200" w:firstLine="320" w:firstLineChars="100"/>
        <w:rPr>
          <w:rFonts w:ascii="仿宋_GB2312" w:hAnsi="仿宋" w:eastAsia="仿宋_GB2312"/>
          <w:sz w:val="32"/>
          <w:szCs w:val="32"/>
        </w:rPr>
      </w:pPr>
      <w:r>
        <w:rPr>
          <w:rFonts w:hint="eastAsia" w:ascii="仿宋_GB2312" w:hAnsi="仿宋" w:eastAsia="仿宋_GB2312"/>
          <w:sz w:val="32"/>
          <w:szCs w:val="32"/>
        </w:rPr>
        <w:t>1.铁路工程：</w:t>
      </w:r>
    </w:p>
    <w:p w14:paraId="31AC58B4">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（1）长度30公里以上的单线或15公里以上的双线（多线）新建铁路综合工程；</w:t>
      </w:r>
    </w:p>
    <w:p w14:paraId="6ACAFD0E">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（2）连续长度50公里以上的扩建铁路（含增建二线）综合工程；</w:t>
      </w:r>
    </w:p>
    <w:p w14:paraId="6F2FBBBD">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（3）大型编组站、集装箱中心站、动车段综合工程；</w:t>
      </w:r>
    </w:p>
    <w:p w14:paraId="4AA5C3C5">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（4）长度500米以上的铁路特大桥或采用新技术、新材料、新工艺，结构复杂，科技含量高的铁路大桥；</w:t>
      </w:r>
    </w:p>
    <w:p w14:paraId="1AA19484">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（5）长度1000米以上的单线铁路隧道、500米以上的双线铁路隧道或300米以上的多线铁路隧道；</w:t>
      </w:r>
    </w:p>
    <w:p w14:paraId="1121EA14">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（6）长度50公里以上的铁路电气化、通信信号、列控工程；</w:t>
      </w:r>
    </w:p>
    <w:p w14:paraId="5FA04A27">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（7）投资2500万元以上，采用新技术、新工艺，具有示范性，经济、社会效益显著的其它铁路工程。</w:t>
      </w:r>
    </w:p>
    <w:p w14:paraId="23726DD9">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2.公路工程：</w:t>
      </w:r>
    </w:p>
    <w:p w14:paraId="2CB4CDE9">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（1）全长1000米以上或单跨50米以上的独立大桥或独立大型互通立交桥；</w:t>
      </w:r>
    </w:p>
    <w:p w14:paraId="422AE958">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（2）长度800米以上的公路隧道；</w:t>
      </w:r>
    </w:p>
    <w:p w14:paraId="00AB88F2">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（3）长度10公里以上的高速公路；</w:t>
      </w:r>
    </w:p>
    <w:p w14:paraId="19606CAA">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（4）长度10公里以上的一级公路；</w:t>
      </w:r>
    </w:p>
    <w:p w14:paraId="0F96D866">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（5）投资2500万元以上的大型立交及其它大型交通工程。</w:t>
      </w:r>
    </w:p>
    <w:p w14:paraId="631FA2FF">
      <w:pPr>
        <w:adjustRightInd w:val="0"/>
        <w:snapToGrid w:val="0"/>
        <w:spacing w:line="576" w:lineRule="exact"/>
        <w:ind w:left="420" w:leftChars="200" w:firstLine="320" w:firstLineChars="100"/>
        <w:rPr>
          <w:rFonts w:ascii="仿宋_GB2312" w:hAnsi="仿宋" w:eastAsia="仿宋_GB2312"/>
          <w:sz w:val="32"/>
          <w:szCs w:val="32"/>
        </w:rPr>
      </w:pPr>
      <w:r>
        <w:rPr>
          <w:rFonts w:hint="eastAsia" w:ascii="仿宋_GB2312" w:hAnsi="仿宋" w:eastAsia="仿宋_GB2312"/>
          <w:sz w:val="32"/>
          <w:szCs w:val="32"/>
        </w:rPr>
        <w:t>3.民航工程：</w:t>
      </w:r>
    </w:p>
    <w:p w14:paraId="2CD879D7">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机场飞行区等级4D以上的工程。</w:t>
      </w:r>
    </w:p>
    <w:p w14:paraId="45A2EDEC">
      <w:pPr>
        <w:adjustRightInd w:val="0"/>
        <w:snapToGrid w:val="0"/>
        <w:spacing w:line="576"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（二）水利工程</w:t>
      </w:r>
    </w:p>
    <w:p w14:paraId="1209D28D">
      <w:pPr>
        <w:adjustRightInd w:val="0"/>
        <w:snapToGrid w:val="0"/>
        <w:spacing w:line="576" w:lineRule="exact"/>
        <w:ind w:firstLine="627" w:firstLineChars="196"/>
        <w:rPr>
          <w:rFonts w:ascii="仿宋_GB2312" w:hAnsi="仿宋" w:eastAsia="仿宋_GB2312"/>
          <w:sz w:val="32"/>
          <w:szCs w:val="32"/>
          <w:lang w:val="en-GB"/>
        </w:rPr>
      </w:pPr>
      <w:r>
        <w:rPr>
          <w:rFonts w:hint="eastAsia" w:ascii="仿宋_GB2312" w:hAnsi="仿宋" w:eastAsia="仿宋_GB2312"/>
          <w:sz w:val="32"/>
          <w:szCs w:val="32"/>
          <w:lang w:val="en-GB"/>
        </w:rPr>
        <w:t>1.库容1000万立方米</w:t>
      </w:r>
      <w:r>
        <w:rPr>
          <w:rFonts w:hint="eastAsia" w:ascii="仿宋_GB2312" w:hAnsi="仿宋" w:eastAsia="仿宋_GB2312"/>
          <w:sz w:val="32"/>
          <w:szCs w:val="32"/>
        </w:rPr>
        <w:t>及</w:t>
      </w:r>
      <w:r>
        <w:rPr>
          <w:rFonts w:hint="eastAsia" w:ascii="仿宋_GB2312" w:hAnsi="仿宋" w:eastAsia="仿宋_GB2312"/>
          <w:sz w:val="32"/>
          <w:szCs w:val="32"/>
          <w:lang w:val="en-GB"/>
        </w:rPr>
        <w:t>以上的水库工程；</w:t>
      </w:r>
    </w:p>
    <w:p w14:paraId="634221C0">
      <w:pPr>
        <w:adjustRightInd w:val="0"/>
        <w:snapToGrid w:val="0"/>
        <w:spacing w:line="576" w:lineRule="exact"/>
        <w:ind w:firstLine="627" w:firstLineChars="196"/>
        <w:rPr>
          <w:rFonts w:ascii="仿宋_GB2312" w:hAnsi="仿宋" w:eastAsia="仿宋_GB2312"/>
          <w:sz w:val="32"/>
          <w:szCs w:val="32"/>
          <w:lang w:val="en-GB"/>
        </w:rPr>
      </w:pPr>
      <w:r>
        <w:rPr>
          <w:rFonts w:hint="eastAsia" w:ascii="仿宋_GB2312" w:hAnsi="仿宋" w:eastAsia="仿宋_GB2312"/>
          <w:sz w:val="32"/>
          <w:szCs w:val="32"/>
          <w:lang w:val="en-GB"/>
        </w:rPr>
        <w:t>2.投资</w:t>
      </w:r>
      <w:r>
        <w:rPr>
          <w:rFonts w:hint="eastAsia" w:ascii="仿宋_GB2312" w:hAnsi="仿宋" w:eastAsia="仿宋_GB2312"/>
          <w:sz w:val="32"/>
          <w:szCs w:val="32"/>
        </w:rPr>
        <w:t>3</w:t>
      </w:r>
      <w:r>
        <w:rPr>
          <w:rFonts w:hint="eastAsia" w:ascii="仿宋_GB2312" w:hAnsi="仿宋" w:eastAsia="仿宋_GB2312"/>
          <w:sz w:val="32"/>
          <w:szCs w:val="32"/>
          <w:lang w:val="en-GB"/>
        </w:rPr>
        <w:t>000万元以上的水利工程。</w:t>
      </w:r>
    </w:p>
    <w:p w14:paraId="528D52C4">
      <w:pPr>
        <w:adjustRightInd w:val="0"/>
        <w:snapToGrid w:val="0"/>
        <w:spacing w:line="576"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（三）电力工程</w:t>
      </w:r>
    </w:p>
    <w:p w14:paraId="018F6169">
      <w:pPr>
        <w:adjustRightInd w:val="0"/>
        <w:snapToGrid w:val="0"/>
        <w:spacing w:line="576" w:lineRule="exact"/>
        <w:ind w:firstLine="627" w:firstLineChars="196"/>
        <w:rPr>
          <w:rFonts w:ascii="仿宋_GB2312" w:hAnsi="仿宋" w:eastAsia="仿宋_GB2312"/>
          <w:sz w:val="32"/>
          <w:szCs w:val="32"/>
          <w:lang w:val="en-GB"/>
        </w:rPr>
      </w:pPr>
      <w:r>
        <w:rPr>
          <w:rFonts w:hint="eastAsia" w:ascii="仿宋_GB2312" w:hAnsi="仿宋" w:eastAsia="仿宋_GB2312"/>
          <w:sz w:val="32"/>
          <w:szCs w:val="32"/>
          <w:lang w:val="en-GB"/>
        </w:rPr>
        <w:t>1.电压等级110</w:t>
      </w:r>
      <w:r>
        <w:rPr>
          <w:rFonts w:hint="eastAsia" w:ascii="仿宋_GB2312" w:hAnsi="仿宋" w:eastAsia="仿宋_GB2312"/>
          <w:sz w:val="32"/>
          <w:szCs w:val="32"/>
        </w:rPr>
        <w:t>KV</w:t>
      </w:r>
      <w:r>
        <w:rPr>
          <w:rFonts w:hint="eastAsia" w:ascii="仿宋_GB2312" w:hAnsi="仿宋" w:eastAsia="仿宋_GB2312"/>
          <w:sz w:val="32"/>
          <w:szCs w:val="32"/>
          <w:lang w:val="en-GB"/>
        </w:rPr>
        <w:t>及以上的输变电工程（线路长度50km及以上）；</w:t>
      </w:r>
    </w:p>
    <w:p w14:paraId="132D7B5F">
      <w:pPr>
        <w:adjustRightInd w:val="0"/>
        <w:snapToGrid w:val="0"/>
        <w:spacing w:line="576" w:lineRule="exact"/>
        <w:ind w:firstLine="627" w:firstLineChars="196"/>
        <w:rPr>
          <w:rFonts w:ascii="仿宋_GB2312" w:hAnsi="仿宋" w:eastAsia="仿宋_GB2312"/>
          <w:sz w:val="32"/>
          <w:szCs w:val="32"/>
          <w:lang w:val="en-GB"/>
        </w:rPr>
      </w:pPr>
      <w:r>
        <w:rPr>
          <w:rFonts w:hint="eastAsia" w:ascii="仿宋_GB2312" w:hAnsi="仿宋" w:eastAsia="仿宋_GB2312"/>
          <w:sz w:val="32"/>
          <w:szCs w:val="32"/>
          <w:lang w:val="en-GB"/>
        </w:rPr>
        <w:t>2.装机容量</w:t>
      </w:r>
      <w:r>
        <w:rPr>
          <w:rFonts w:hint="eastAsia" w:ascii="仿宋_GB2312" w:hAnsi="仿宋" w:eastAsia="仿宋_GB2312"/>
          <w:sz w:val="32"/>
          <w:szCs w:val="32"/>
        </w:rPr>
        <w:t>20</w:t>
      </w:r>
      <w:r>
        <w:rPr>
          <w:rFonts w:hint="eastAsia" w:ascii="仿宋_GB2312" w:hAnsi="仿宋" w:eastAsia="仿宋_GB2312"/>
          <w:sz w:val="32"/>
          <w:szCs w:val="32"/>
          <w:lang w:val="en-GB"/>
        </w:rPr>
        <w:t>MW及以上的风力发电工程；</w:t>
      </w:r>
    </w:p>
    <w:p w14:paraId="74FA5CB5">
      <w:pPr>
        <w:adjustRightInd w:val="0"/>
        <w:snapToGrid w:val="0"/>
        <w:spacing w:line="576" w:lineRule="exact"/>
        <w:ind w:firstLine="627" w:firstLineChars="196"/>
        <w:rPr>
          <w:rFonts w:ascii="仿宋_GB2312" w:hAnsi="仿宋" w:eastAsia="仿宋_GB2312"/>
          <w:sz w:val="32"/>
          <w:szCs w:val="32"/>
          <w:lang w:val="en-GB"/>
        </w:rPr>
      </w:pPr>
      <w:r>
        <w:rPr>
          <w:rFonts w:hint="eastAsia" w:ascii="仿宋_GB2312" w:hAnsi="仿宋" w:eastAsia="仿宋_GB2312"/>
          <w:sz w:val="32"/>
          <w:szCs w:val="32"/>
          <w:lang w:val="en-GB"/>
        </w:rPr>
        <w:t>3.发电容量20MW及以上的光伏发电工程；</w:t>
      </w:r>
    </w:p>
    <w:p w14:paraId="53499872">
      <w:pPr>
        <w:adjustRightInd w:val="0"/>
        <w:snapToGrid w:val="0"/>
        <w:spacing w:line="576" w:lineRule="exact"/>
        <w:ind w:left="650" w:leftChars="304" w:hanging="12" w:hangingChars="4"/>
        <w:rPr>
          <w:rFonts w:ascii="仿宋_GB2312" w:hAnsi="仿宋" w:eastAsia="仿宋_GB2312"/>
          <w:sz w:val="32"/>
          <w:szCs w:val="32"/>
          <w:lang w:val="en-GB"/>
        </w:rPr>
      </w:pPr>
      <w:r>
        <w:rPr>
          <w:rFonts w:hint="eastAsia" w:ascii="仿宋_GB2312" w:hAnsi="仿宋" w:eastAsia="仿宋_GB2312"/>
          <w:sz w:val="32"/>
          <w:szCs w:val="32"/>
          <w:lang w:val="en-GB"/>
        </w:rPr>
        <w:t>4.装机容量2</w:t>
      </w:r>
      <w:r>
        <w:rPr>
          <w:rFonts w:hint="eastAsia" w:ascii="仿宋_GB2312" w:hAnsi="仿宋" w:eastAsia="仿宋_GB2312"/>
          <w:sz w:val="32"/>
          <w:szCs w:val="32"/>
        </w:rPr>
        <w:t>00</w:t>
      </w:r>
      <w:r>
        <w:rPr>
          <w:rFonts w:hint="eastAsia" w:ascii="仿宋_GB2312" w:hAnsi="仿宋" w:eastAsia="仿宋_GB2312"/>
          <w:sz w:val="32"/>
          <w:szCs w:val="32"/>
          <w:lang w:val="en-GB"/>
        </w:rPr>
        <w:t>MW及以上的水利水电工程（含抽水蓄能）；5.单机容量1</w:t>
      </w:r>
      <w:r>
        <w:rPr>
          <w:rFonts w:hint="eastAsia" w:ascii="仿宋_GB2312" w:hAnsi="仿宋" w:eastAsia="仿宋_GB2312"/>
          <w:sz w:val="32"/>
          <w:szCs w:val="32"/>
        </w:rPr>
        <w:t>0</w:t>
      </w:r>
      <w:r>
        <w:rPr>
          <w:rFonts w:hint="eastAsia" w:ascii="仿宋_GB2312" w:hAnsi="仿宋" w:eastAsia="仿宋_GB2312"/>
          <w:sz w:val="32"/>
          <w:szCs w:val="32"/>
          <w:lang w:val="en-GB"/>
        </w:rPr>
        <w:t>MW及以上的垃圾及生物质发电工程；</w:t>
      </w:r>
    </w:p>
    <w:p w14:paraId="2EB65A0C">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rPr>
        <w:t>6</w:t>
      </w:r>
      <w:r>
        <w:rPr>
          <w:rFonts w:hint="eastAsia" w:ascii="仿宋_GB2312" w:hAnsi="仿宋" w:eastAsia="仿宋_GB2312"/>
          <w:sz w:val="32"/>
          <w:szCs w:val="32"/>
          <w:lang w:val="en-GB"/>
        </w:rPr>
        <w:t>.装机容量20MW及以上的分布式能源工程（含供热机组）；</w:t>
      </w:r>
    </w:p>
    <w:p w14:paraId="6EC2240C">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rPr>
        <w:t>7</w:t>
      </w:r>
      <w:r>
        <w:rPr>
          <w:rFonts w:hint="eastAsia" w:ascii="仿宋_GB2312" w:hAnsi="仿宋" w:eastAsia="仿宋_GB2312"/>
          <w:sz w:val="32"/>
          <w:szCs w:val="32"/>
          <w:lang w:val="en-GB"/>
        </w:rPr>
        <w:t>.以上类型未含，工程造价1.5亿元及以上或建安工作量2000万元及以上的其它电力工程；</w:t>
      </w:r>
    </w:p>
    <w:p w14:paraId="2EBFBAC3">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rPr>
        <w:t>8</w:t>
      </w:r>
      <w:r>
        <w:rPr>
          <w:rFonts w:hint="eastAsia" w:ascii="仿宋_GB2312" w:hAnsi="仿宋" w:eastAsia="仿宋_GB2312"/>
          <w:sz w:val="32"/>
          <w:szCs w:val="32"/>
          <w:lang w:val="en-GB"/>
        </w:rPr>
        <w:t>.工程安建工作量1500万元及以上的，且具有独立使用功能的单项工程，如燃料、管网、环保、储能、直接空冷、节能减排改造等电力配套工程。</w:t>
      </w:r>
    </w:p>
    <w:p w14:paraId="13CA2228">
      <w:pPr>
        <w:adjustRightInd w:val="0"/>
        <w:snapToGrid w:val="0"/>
        <w:spacing w:line="576" w:lineRule="exact"/>
        <w:ind w:firstLine="630" w:firstLineChars="196"/>
        <w:rPr>
          <w:rFonts w:ascii="仿宋_GB2312" w:hAnsi="仿宋" w:eastAsia="仿宋_GB2312" w:cs="黑体"/>
          <w:b/>
          <w:color w:val="000000"/>
          <w:sz w:val="32"/>
          <w:szCs w:val="32"/>
        </w:rPr>
      </w:pPr>
      <w:r>
        <w:rPr>
          <w:rFonts w:hint="eastAsia" w:ascii="仿宋_GB2312" w:hAnsi="仿宋" w:eastAsia="仿宋_GB2312" w:cs="黑体"/>
          <w:b/>
          <w:color w:val="000000"/>
          <w:sz w:val="32"/>
          <w:szCs w:val="32"/>
        </w:rPr>
        <w:t>（四）工业工程</w:t>
      </w:r>
    </w:p>
    <w:p w14:paraId="26DA3D91">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lang w:val="en-GB"/>
        </w:rPr>
        <w:t>投资3000万元以上的各类工业项目</w:t>
      </w:r>
    </w:p>
    <w:p w14:paraId="028E1E4E">
      <w:pPr>
        <w:adjustRightInd w:val="0"/>
        <w:snapToGrid w:val="0"/>
        <w:spacing w:line="576" w:lineRule="exact"/>
        <w:ind w:firstLine="640" w:firstLineChars="200"/>
        <w:rPr>
          <w:rFonts w:ascii="楷体_GB2312" w:hAnsi="楷体" w:eastAsia="楷体_GB2312"/>
          <w:color w:val="000000"/>
          <w:sz w:val="32"/>
          <w:szCs w:val="32"/>
        </w:rPr>
      </w:pPr>
      <w:r>
        <w:rPr>
          <w:rFonts w:hint="eastAsia" w:ascii="楷体_GB2312" w:hAnsi="楷体" w:eastAsia="楷体_GB2312"/>
          <w:color w:val="000000"/>
          <w:sz w:val="32"/>
          <w:szCs w:val="32"/>
        </w:rPr>
        <w:t>四、市政、园林工程</w:t>
      </w:r>
    </w:p>
    <w:p w14:paraId="36650709">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lang w:val="en-GB"/>
        </w:rPr>
        <w:t>（一）桥面面积4000平方米以上的城市立交桥或3万平方米以上的城市道路工程；</w:t>
      </w:r>
    </w:p>
    <w:p w14:paraId="62D094D8">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lang w:val="en-GB"/>
        </w:rPr>
        <w:t>（二）全长</w:t>
      </w:r>
      <w:r>
        <w:rPr>
          <w:rFonts w:hint="eastAsia" w:ascii="仿宋_GB2312" w:hAnsi="仿宋" w:eastAsia="仿宋_GB2312"/>
          <w:sz w:val="32"/>
          <w:szCs w:val="32"/>
        </w:rPr>
        <w:t>1</w:t>
      </w:r>
      <w:r>
        <w:rPr>
          <w:rFonts w:hint="eastAsia" w:ascii="仿宋_GB2312" w:hAnsi="仿宋" w:eastAsia="仿宋_GB2312"/>
          <w:sz w:val="32"/>
          <w:szCs w:val="32"/>
          <w:lang w:val="en-GB"/>
        </w:rPr>
        <w:t>00米以上或单跨</w:t>
      </w:r>
      <w:r>
        <w:rPr>
          <w:rFonts w:hint="eastAsia" w:ascii="仿宋_GB2312" w:hAnsi="仿宋" w:eastAsia="仿宋_GB2312"/>
          <w:sz w:val="32"/>
          <w:szCs w:val="32"/>
        </w:rPr>
        <w:t>4</w:t>
      </w:r>
      <w:r>
        <w:rPr>
          <w:rFonts w:hint="eastAsia" w:ascii="仿宋_GB2312" w:hAnsi="仿宋" w:eastAsia="仿宋_GB2312"/>
          <w:sz w:val="32"/>
          <w:szCs w:val="32"/>
          <w:lang w:val="en-GB"/>
        </w:rPr>
        <w:t>0米以上的桥梁工程；</w:t>
      </w:r>
    </w:p>
    <w:p w14:paraId="5E86C08C">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lang w:val="en-GB"/>
        </w:rPr>
        <w:t>（三）长度</w:t>
      </w:r>
      <w:r>
        <w:rPr>
          <w:rFonts w:hint="eastAsia" w:ascii="仿宋_GB2312" w:hAnsi="仿宋" w:eastAsia="仿宋_GB2312"/>
          <w:sz w:val="32"/>
          <w:szCs w:val="32"/>
        </w:rPr>
        <w:t>2</w:t>
      </w:r>
      <w:r>
        <w:rPr>
          <w:rFonts w:hint="eastAsia" w:ascii="仿宋_GB2312" w:hAnsi="仿宋" w:eastAsia="仿宋_GB2312"/>
          <w:sz w:val="32"/>
          <w:szCs w:val="32"/>
          <w:lang w:val="en-GB"/>
        </w:rPr>
        <w:t>00米以上的城市跨河桥；</w:t>
      </w:r>
    </w:p>
    <w:p w14:paraId="77EC7EE9">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lang w:val="en-GB"/>
        </w:rPr>
        <w:t>（四）长度</w:t>
      </w:r>
      <w:r>
        <w:rPr>
          <w:rFonts w:hint="eastAsia" w:ascii="仿宋_GB2312" w:hAnsi="仿宋" w:eastAsia="仿宋_GB2312"/>
          <w:sz w:val="32"/>
          <w:szCs w:val="32"/>
        </w:rPr>
        <w:t>5</w:t>
      </w:r>
      <w:r>
        <w:rPr>
          <w:rFonts w:hint="eastAsia" w:ascii="仿宋_GB2312" w:hAnsi="仿宋" w:eastAsia="仿宋_GB2312"/>
          <w:sz w:val="32"/>
          <w:szCs w:val="32"/>
          <w:lang w:val="en-GB"/>
        </w:rPr>
        <w:t>00米以上的城市隧道工程；</w:t>
      </w:r>
    </w:p>
    <w:p w14:paraId="1C96EDC2">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lang w:val="en-GB"/>
        </w:rPr>
        <w:t>（五）长度</w:t>
      </w:r>
      <w:r>
        <w:rPr>
          <w:rFonts w:hint="eastAsia" w:ascii="仿宋_GB2312" w:hAnsi="仿宋" w:eastAsia="仿宋_GB2312"/>
          <w:sz w:val="32"/>
          <w:szCs w:val="32"/>
        </w:rPr>
        <w:t>3</w:t>
      </w:r>
      <w:r>
        <w:rPr>
          <w:rFonts w:hint="eastAsia" w:ascii="仿宋_GB2312" w:hAnsi="仿宋" w:eastAsia="仿宋_GB2312"/>
          <w:sz w:val="32"/>
          <w:szCs w:val="32"/>
          <w:lang w:val="en-GB"/>
        </w:rPr>
        <w:t>公里以上的轨道交通工程；</w:t>
      </w:r>
    </w:p>
    <w:p w14:paraId="7261872C">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lang w:val="en-GB"/>
        </w:rPr>
        <w:t>（六）日供水0.2万吨以上的供水厂或日处理0.2万吨以上的污水处理厂；</w:t>
      </w:r>
    </w:p>
    <w:p w14:paraId="67E31CC9">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lang w:val="en-GB"/>
        </w:rPr>
        <w:t>（七）日处理150吨及以上的生活垃圾无害化处理工程；</w:t>
      </w:r>
    </w:p>
    <w:p w14:paraId="4E33BFD5">
      <w:pPr>
        <w:adjustRightInd w:val="0"/>
        <w:snapToGrid w:val="0"/>
        <w:spacing w:line="576" w:lineRule="exact"/>
        <w:ind w:firstLine="640" w:firstLineChars="200"/>
        <w:rPr>
          <w:rFonts w:ascii="仿宋_GB2312" w:hAnsi="仿宋" w:eastAsia="仿宋_GB2312"/>
          <w:sz w:val="32"/>
          <w:szCs w:val="32"/>
          <w:lang w:val="en-GB"/>
        </w:rPr>
      </w:pPr>
      <w:r>
        <w:rPr>
          <w:rFonts w:hint="eastAsia" w:ascii="仿宋_GB2312" w:hAnsi="仿宋" w:eastAsia="仿宋_GB2312"/>
          <w:sz w:val="32"/>
          <w:szCs w:val="32"/>
          <w:lang w:val="en-GB"/>
        </w:rPr>
        <w:t>（八）日处理</w:t>
      </w:r>
      <w:r>
        <w:rPr>
          <w:rFonts w:hint="eastAsia" w:ascii="仿宋_GB2312" w:hAnsi="仿宋" w:eastAsia="仿宋_GB2312"/>
          <w:sz w:val="32"/>
          <w:szCs w:val="32"/>
        </w:rPr>
        <w:t>3</w:t>
      </w:r>
      <w:r>
        <w:rPr>
          <w:rFonts w:hint="eastAsia" w:ascii="仿宋_GB2312" w:hAnsi="仿宋" w:eastAsia="仿宋_GB2312"/>
          <w:sz w:val="32"/>
          <w:szCs w:val="32"/>
          <w:lang w:val="en-GB"/>
        </w:rPr>
        <w:t>00吨及以上的生活垃圾焚烧处理工程；</w:t>
      </w:r>
    </w:p>
    <w:p w14:paraId="0CC2C716">
      <w:pPr>
        <w:adjustRightInd w:val="0"/>
        <w:snapToGrid w:val="0"/>
        <w:spacing w:line="576" w:lineRule="exact"/>
        <w:ind w:firstLine="640" w:firstLineChars="200"/>
        <w:rPr>
          <w:rFonts w:hint="eastAsia" w:ascii="仿宋_GB2312" w:hAnsi="仿宋" w:eastAsia="仿宋_GB2312"/>
          <w:sz w:val="32"/>
          <w:szCs w:val="32"/>
          <w:lang w:val="en-GB" w:eastAsia="zh-CN"/>
        </w:rPr>
      </w:pPr>
      <w:r>
        <w:rPr>
          <w:rFonts w:hint="eastAsia" w:ascii="仿宋_GB2312" w:hAnsi="仿宋" w:eastAsia="仿宋_GB2312"/>
          <w:sz w:val="32"/>
          <w:szCs w:val="32"/>
          <w:lang w:val="en-GB"/>
        </w:rPr>
        <w:t>（九）占地2万平方米以上且建筑面积</w:t>
      </w:r>
      <w:r>
        <w:rPr>
          <w:rFonts w:hint="eastAsia" w:ascii="仿宋_GB2312" w:hAnsi="仿宋" w:eastAsia="仿宋_GB2312"/>
          <w:sz w:val="32"/>
          <w:szCs w:val="32"/>
        </w:rPr>
        <w:t>5</w:t>
      </w:r>
      <w:r>
        <w:rPr>
          <w:rFonts w:hint="eastAsia" w:ascii="仿宋_GB2312" w:hAnsi="仿宋" w:eastAsia="仿宋_GB2312"/>
          <w:sz w:val="32"/>
          <w:szCs w:val="32"/>
          <w:lang w:val="en-GB"/>
        </w:rPr>
        <w:t>000平方米以上的园林建筑工程</w:t>
      </w:r>
      <w:r>
        <w:rPr>
          <w:rFonts w:hint="eastAsia" w:ascii="仿宋_GB2312" w:hAnsi="仿宋" w:eastAsia="仿宋_GB2312"/>
          <w:sz w:val="32"/>
          <w:szCs w:val="32"/>
          <w:lang w:val="en-GB" w:eastAsia="zh-CN"/>
        </w:rPr>
        <w:t>，</w:t>
      </w:r>
      <w:r>
        <w:rPr>
          <w:rFonts w:hint="eastAsia" w:ascii="仿宋_GB2312" w:hAnsi="仿宋" w:eastAsia="仿宋_GB2312"/>
          <w:sz w:val="32"/>
          <w:szCs w:val="32"/>
        </w:rPr>
        <w:t>偏远地区县级及以下规模可下调10%</w:t>
      </w:r>
      <w:r>
        <w:rPr>
          <w:rFonts w:hint="eastAsia" w:ascii="仿宋_GB2312" w:hAnsi="仿宋" w:eastAsia="仿宋_GB2312"/>
          <w:sz w:val="32"/>
          <w:szCs w:val="32"/>
          <w:lang w:eastAsia="zh-CN"/>
        </w:rPr>
        <w:t>；</w:t>
      </w:r>
    </w:p>
    <w:p w14:paraId="24F549B7">
      <w:pPr>
        <w:adjustRightInd w:val="0"/>
        <w:snapToGrid w:val="0"/>
        <w:spacing w:line="576" w:lineRule="exact"/>
        <w:ind w:firstLine="640" w:firstLineChars="200"/>
        <w:rPr>
          <w:rFonts w:hint="eastAsia" w:ascii="仿宋_GB2312" w:hAnsi="仿宋" w:eastAsia="仿宋_GB2312"/>
          <w:sz w:val="32"/>
          <w:szCs w:val="32"/>
          <w:lang w:val="en-GB" w:eastAsia="zh-CN"/>
        </w:rPr>
      </w:pPr>
      <w:r>
        <w:rPr>
          <w:rFonts w:hint="eastAsia" w:ascii="仿宋_GB2312" w:hAnsi="仿宋" w:eastAsia="仿宋_GB2312"/>
          <w:sz w:val="32"/>
          <w:szCs w:val="32"/>
          <w:lang w:val="en-GB"/>
        </w:rPr>
        <w:t>（十）投资</w:t>
      </w:r>
      <w:r>
        <w:rPr>
          <w:rFonts w:hint="eastAsia" w:ascii="仿宋_GB2312" w:hAnsi="仿宋" w:eastAsia="仿宋_GB2312"/>
          <w:sz w:val="32"/>
          <w:szCs w:val="32"/>
        </w:rPr>
        <w:t>20</w:t>
      </w:r>
      <w:r>
        <w:rPr>
          <w:rFonts w:hint="eastAsia" w:ascii="仿宋_GB2312" w:hAnsi="仿宋" w:eastAsia="仿宋_GB2312"/>
          <w:sz w:val="32"/>
          <w:szCs w:val="32"/>
          <w:lang w:val="en-GB"/>
        </w:rPr>
        <w:t>00万元以上的其它市政、园林工程</w:t>
      </w:r>
      <w:r>
        <w:rPr>
          <w:rFonts w:hint="eastAsia" w:ascii="仿宋_GB2312" w:hAnsi="仿宋" w:eastAsia="仿宋_GB2312"/>
          <w:sz w:val="32"/>
          <w:szCs w:val="32"/>
          <w:lang w:eastAsia="zh-CN"/>
        </w:rPr>
        <w:t>；</w:t>
      </w:r>
    </w:p>
    <w:p w14:paraId="4297FF87">
      <w:pPr>
        <w:adjustRightInd w:val="0"/>
        <w:snapToGrid w:val="0"/>
        <w:spacing w:line="576" w:lineRule="exact"/>
        <w:ind w:firstLine="640" w:firstLineChars="200"/>
        <w:rPr>
          <w:rFonts w:hint="eastAsia" w:ascii="仿宋_GB2312" w:hAnsi="仿宋" w:eastAsia="仿宋_GB2312"/>
          <w:sz w:val="32"/>
          <w:szCs w:val="32"/>
          <w:lang w:val="en-GB" w:eastAsia="zh-CN"/>
        </w:rPr>
      </w:pPr>
      <w:r>
        <w:rPr>
          <w:rFonts w:hint="eastAsia" w:ascii="仿宋_GB2312" w:hAnsi="仿宋" w:eastAsia="仿宋_GB2312"/>
          <w:sz w:val="32"/>
          <w:szCs w:val="32"/>
          <w:lang w:val="en-GB"/>
        </w:rPr>
        <w:t>（十一）供暖面积</w:t>
      </w:r>
      <w:r>
        <w:rPr>
          <w:rFonts w:hint="eastAsia" w:ascii="仿宋_GB2312" w:hAnsi="仿宋" w:eastAsia="仿宋_GB2312"/>
          <w:sz w:val="32"/>
          <w:szCs w:val="32"/>
        </w:rPr>
        <w:t>5</w:t>
      </w:r>
      <w:r>
        <w:rPr>
          <w:rFonts w:hint="eastAsia" w:ascii="仿宋_GB2312" w:hAnsi="仿宋" w:eastAsia="仿宋_GB2312"/>
          <w:sz w:val="32"/>
          <w:szCs w:val="32"/>
          <w:lang w:val="en-GB"/>
        </w:rPr>
        <w:t>万平方米以上的城镇供暖工程</w:t>
      </w:r>
      <w:r>
        <w:rPr>
          <w:rFonts w:hint="eastAsia" w:ascii="仿宋_GB2312" w:hAnsi="仿宋" w:eastAsia="仿宋_GB2312"/>
          <w:sz w:val="32"/>
          <w:szCs w:val="32"/>
          <w:lang w:val="en-GB" w:eastAsia="zh-CN"/>
        </w:rPr>
        <w:t>，</w:t>
      </w:r>
      <w:r>
        <w:rPr>
          <w:rFonts w:hint="eastAsia" w:ascii="仿宋_GB2312" w:hAnsi="仿宋" w:eastAsia="仿宋_GB2312"/>
          <w:sz w:val="32"/>
          <w:szCs w:val="32"/>
        </w:rPr>
        <w:t>偏远地区县级及以下规模可下调10%。</w:t>
      </w:r>
    </w:p>
    <w:p w14:paraId="1B7BE11F">
      <w:pPr>
        <w:adjustRightInd w:val="0"/>
        <w:snapToGrid w:val="0"/>
        <w:spacing w:line="576" w:lineRule="exact"/>
        <w:ind w:left="638" w:leftChars="304"/>
        <w:rPr>
          <w:rFonts w:ascii="楷体_GB2312" w:hAnsi="楷体" w:eastAsia="楷体_GB2312"/>
          <w:color w:val="000000"/>
          <w:sz w:val="32"/>
          <w:szCs w:val="32"/>
        </w:rPr>
      </w:pPr>
      <w:r>
        <w:rPr>
          <w:rFonts w:hint="eastAsia" w:ascii="楷体_GB2312" w:hAnsi="楷体" w:eastAsia="楷体_GB2312"/>
          <w:color w:val="000000"/>
          <w:sz w:val="32"/>
          <w:szCs w:val="32"/>
        </w:rPr>
        <w:t>五、其他工程</w:t>
      </w:r>
    </w:p>
    <w:p w14:paraId="783DAA90">
      <w:pPr>
        <w:adjustRightInd w:val="0"/>
        <w:snapToGrid w:val="0"/>
        <w:spacing w:line="576"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（一）个别工程规模较小，达不到上述要求，但建筑风格独特，且有一定社会影响的精品工程；</w:t>
      </w:r>
    </w:p>
    <w:p w14:paraId="28895F2B">
      <w:pPr>
        <w:adjustRightInd w:val="0"/>
        <w:snapToGrid w:val="0"/>
        <w:spacing w:line="576" w:lineRule="exact"/>
        <w:ind w:firstLine="640" w:firstLineChars="200"/>
        <w:rPr>
          <w:rFonts w:ascii="仿宋_GB2312" w:eastAsia="仿宋_GB2312"/>
          <w:sz w:val="32"/>
          <w:szCs w:val="32"/>
        </w:rPr>
      </w:pPr>
      <w:r>
        <w:rPr>
          <w:rFonts w:hint="eastAsia" w:ascii="仿宋_GB2312" w:hAnsi="仿宋" w:eastAsia="仿宋_GB2312" w:cs="仿宋_GB2312"/>
          <w:sz w:val="32"/>
          <w:szCs w:val="32"/>
        </w:rPr>
        <w:t>（二）积极推行采用国家倡导的装配式建筑、</w:t>
      </w:r>
      <w:r>
        <w:rPr>
          <w:rFonts w:hint="eastAsia" w:ascii="仿宋_GB2312" w:hAnsi="仿宋" w:eastAsia="仿宋_GB2312"/>
          <w:color w:val="000000"/>
          <w:sz w:val="32"/>
          <w:szCs w:val="32"/>
        </w:rPr>
        <w:t>智能建筑</w:t>
      </w:r>
      <w:r>
        <w:rPr>
          <w:rFonts w:hint="eastAsia" w:ascii="仿宋_GB2312" w:hAnsi="仿宋" w:eastAsia="仿宋_GB2312" w:cs="仿宋_GB2312"/>
          <w:sz w:val="32"/>
          <w:szCs w:val="32"/>
        </w:rPr>
        <w:t>和绿色建造等先进建造技术施工的工程项目。</w:t>
      </w:r>
      <w:r>
        <w:rPr>
          <w:rFonts w:hint="eastAsia" w:ascii="仿宋_GB2312" w:hAnsi="仿宋" w:eastAsia="仿宋_GB2312"/>
          <w:color w:val="000000"/>
          <w:sz w:val="32"/>
          <w:szCs w:val="32"/>
        </w:rPr>
        <w:t xml:space="preserve"> </w:t>
      </w:r>
    </w:p>
    <w:p w14:paraId="6F381589">
      <w:pPr>
        <w:spacing w:line="576" w:lineRule="exact"/>
      </w:pP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52703"/>
    </w:sdtPr>
    <w:sdtContent>
      <w:p w14:paraId="4CEAB8D8">
        <w:pPr>
          <w:pStyle w:val="5"/>
          <w:jc w:val="center"/>
        </w:pPr>
        <w:r>
          <w:fldChar w:fldCharType="begin"/>
        </w:r>
        <w:r>
          <w:instrText xml:space="preserve"> PAGE   \* MERGEFORMAT </w:instrText>
        </w:r>
        <w:r>
          <w:fldChar w:fldCharType="separate"/>
        </w:r>
        <w:r>
          <w:rPr>
            <w:lang w:val="zh-CN"/>
          </w:rPr>
          <w:t>16</w:t>
        </w:r>
        <w:r>
          <w:rPr>
            <w:lang w:val="zh-CN"/>
          </w:rPr>
          <w:fldChar w:fldCharType="end"/>
        </w:r>
      </w:p>
    </w:sdtContent>
  </w:sdt>
  <w:p w14:paraId="27859CB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BFF79"/>
    <w:multiLevelType w:val="singleLevel"/>
    <w:tmpl w:val="5DFBFF79"/>
    <w:lvl w:ilvl="0" w:tentative="0">
      <w:start w:val="1"/>
      <w:numFmt w:val="chineseCounting"/>
      <w:suff w:val="nothing"/>
      <w:lvlText w:val="（%1）"/>
      <w:lvlJc w:val="left"/>
      <w:rPr>
        <w:rFonts w:hint="eastAsia"/>
      </w:rPr>
    </w:lvl>
  </w:abstractNum>
  <w:abstractNum w:abstractNumId="1">
    <w:nsid w:val="73BB93FE"/>
    <w:multiLevelType w:val="singleLevel"/>
    <w:tmpl w:val="73BB93FE"/>
    <w:lvl w:ilvl="0" w:tentative="0">
      <w:start w:val="1"/>
      <w:numFmt w:val="chineseCounting"/>
      <w:suff w:val="space"/>
      <w:lvlText w:val="第%1条"/>
      <w:lvlJc w:val="left"/>
      <w:rPr>
        <w:rFonts w:hint="eastAsia"/>
        <w:b/>
        <w:bCs/>
      </w:rPr>
    </w:lvl>
  </w:abstractNum>
  <w:abstractNum w:abstractNumId="2">
    <w:nsid w:val="77523C03"/>
    <w:multiLevelType w:val="singleLevel"/>
    <w:tmpl w:val="77523C03"/>
    <w:lvl w:ilvl="0" w:tentative="0">
      <w:start w:val="18"/>
      <w:numFmt w:val="chineseCounting"/>
      <w:suff w:val="space"/>
      <w:lvlText w:val="第%1条"/>
      <w:lvlJc w:val="left"/>
      <w:rPr>
        <w:rFonts w:hint="eastAsia"/>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OWQxZDBmYTM2NDlmNmFmZGU0ZjIyOGRlNGI2MzgifQ=="/>
  </w:docVars>
  <w:rsids>
    <w:rsidRoot w:val="32790D85"/>
    <w:rsid w:val="00170185"/>
    <w:rsid w:val="001E1D83"/>
    <w:rsid w:val="003F44F3"/>
    <w:rsid w:val="00A33861"/>
    <w:rsid w:val="00BD2958"/>
    <w:rsid w:val="032619BC"/>
    <w:rsid w:val="042E0790"/>
    <w:rsid w:val="0B0A7926"/>
    <w:rsid w:val="10377C81"/>
    <w:rsid w:val="10425C8F"/>
    <w:rsid w:val="10B44562"/>
    <w:rsid w:val="1239405F"/>
    <w:rsid w:val="133C4A23"/>
    <w:rsid w:val="14AD4910"/>
    <w:rsid w:val="187D119F"/>
    <w:rsid w:val="1D671362"/>
    <w:rsid w:val="204074DC"/>
    <w:rsid w:val="285443B9"/>
    <w:rsid w:val="2A612DBE"/>
    <w:rsid w:val="2B4B4B85"/>
    <w:rsid w:val="2C994A91"/>
    <w:rsid w:val="2D5F57E1"/>
    <w:rsid w:val="2E8D23D3"/>
    <w:rsid w:val="31550539"/>
    <w:rsid w:val="32790D85"/>
    <w:rsid w:val="342F2390"/>
    <w:rsid w:val="373C7683"/>
    <w:rsid w:val="37E8341F"/>
    <w:rsid w:val="3AC51CA9"/>
    <w:rsid w:val="3C205226"/>
    <w:rsid w:val="3C2D41E7"/>
    <w:rsid w:val="3C634773"/>
    <w:rsid w:val="3CF67D5D"/>
    <w:rsid w:val="3DDA6CB7"/>
    <w:rsid w:val="3EEA529F"/>
    <w:rsid w:val="4387343D"/>
    <w:rsid w:val="43B1583B"/>
    <w:rsid w:val="49846D29"/>
    <w:rsid w:val="4A0349D4"/>
    <w:rsid w:val="4C874F8F"/>
    <w:rsid w:val="527955C2"/>
    <w:rsid w:val="542D6CEB"/>
    <w:rsid w:val="55E27983"/>
    <w:rsid w:val="57E22B5F"/>
    <w:rsid w:val="5E0B5FBD"/>
    <w:rsid w:val="5E7A6E78"/>
    <w:rsid w:val="5FE169AE"/>
    <w:rsid w:val="5FFF04A2"/>
    <w:rsid w:val="609A6050"/>
    <w:rsid w:val="61B764FC"/>
    <w:rsid w:val="629B7308"/>
    <w:rsid w:val="679B7441"/>
    <w:rsid w:val="6BB87D88"/>
    <w:rsid w:val="6EB56801"/>
    <w:rsid w:val="6FD93D85"/>
    <w:rsid w:val="72991D71"/>
    <w:rsid w:val="73160CBB"/>
    <w:rsid w:val="735E7E71"/>
    <w:rsid w:val="77933457"/>
    <w:rsid w:val="779416A9"/>
    <w:rsid w:val="7DDA2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ind w:firstLine="200"/>
    </w:pPr>
  </w:style>
  <w:style w:type="paragraph" w:styleId="4">
    <w:name w:val="Balloon Text"/>
    <w:basedOn w:val="1"/>
    <w:link w:val="10"/>
    <w:autoRedefine/>
    <w:qFormat/>
    <w:uiPriority w:val="0"/>
    <w:rPr>
      <w:sz w:val="18"/>
      <w:szCs w:val="18"/>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table" w:styleId="7">
    <w:name w:val="Table Grid"/>
    <w:basedOn w:val="6"/>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autoRedefine/>
    <w:qFormat/>
    <w:uiPriority w:val="99"/>
    <w:rPr>
      <w:rFonts w:cs="Times New Roman"/>
      <w:b/>
      <w:bCs/>
    </w:rPr>
  </w:style>
  <w:style w:type="character" w:customStyle="1" w:styleId="10">
    <w:name w:val="批注框文本 Char"/>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7090</Words>
  <Characters>7268</Characters>
  <Lines>55</Lines>
  <Paragraphs>15</Paragraphs>
  <TotalTime>16</TotalTime>
  <ScaleCrop>false</ScaleCrop>
  <LinksUpToDate>false</LinksUpToDate>
  <CharactersWithSpaces>7345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2023-06-25T04:10:00Z</dcterms:created>
  <dc:creator>Administrator</dc:creator>
  <cp:lastModifiedBy>小园子</cp:lastModifiedBy>
  <cp:lastPrinted>2023-10-15T13:32:00Z</cp:lastPrinted>
  <dcterms:modified xsi:type="dcterms:W3CDTF">2025-03-19T05:32:39Z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7C8FDE7DBB444CB3AAE0F6C6773801E1_13</vt:lpwstr>
  </property>
  <property fmtid="{D5CDD505-2E9C-101B-9397-08002B2CF9AE}" pid="4" name="KSOTemplateDocerSaveRecord">
    <vt:lpwstr>eyJoZGlkIjoiOTM5OWQxZDBmYTM2NDlmNmFmZGU0ZjIyOGRlNGI2MzgiLCJ1c2VySWQiOiIyODAzMzYwMTcifQ==</vt:lpwstr>
  </property>
</Properties>
</file>