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865E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附件2：</w:t>
      </w:r>
    </w:p>
    <w:p w14:paraId="5711CA5F">
      <w:pPr>
        <w:keepNext w:val="0"/>
        <w:keepLines w:val="0"/>
        <w:pageBreakBefore w:val="0"/>
        <w:widowControl/>
        <w:kinsoku w:val="0"/>
        <w:wordWrap/>
        <w:overflowPunct/>
        <w:topLinePunct w:val="0"/>
        <w:autoSpaceDE w:val="0"/>
        <w:autoSpaceDN w:val="0"/>
        <w:bidi w:val="0"/>
        <w:adjustRightInd w:val="0"/>
        <w:snapToGrid w:val="0"/>
        <w:spacing w:before="91" w:line="576" w:lineRule="exact"/>
        <w:ind w:left="6"/>
        <w:jc w:val="center"/>
        <w:textAlignment w:val="baseline"/>
        <w:outlineLvl w:val="0"/>
        <w:rPr>
          <w:rFonts w:hint="eastAsia" w:ascii="方正小标宋_GBK" w:hAnsi="方正小标宋_GBK" w:eastAsia="方正小标宋_GBK" w:cs="方正小标宋_GBK"/>
          <w:b w:val="0"/>
          <w:bCs w:val="0"/>
          <w:spacing w:val="12"/>
          <w:sz w:val="44"/>
          <w:szCs w:val="44"/>
        </w:rPr>
      </w:pPr>
      <w:r>
        <w:rPr>
          <w:rFonts w:hint="eastAsia" w:ascii="方正小标宋_GBK" w:hAnsi="方正小标宋_GBK" w:eastAsia="方正小标宋_GBK" w:cs="方正小标宋_GBK"/>
          <w:b w:val="0"/>
          <w:bCs w:val="0"/>
          <w:spacing w:val="12"/>
          <w:sz w:val="44"/>
          <w:szCs w:val="44"/>
          <w:lang w:val="en-US" w:eastAsia="zh-CN"/>
        </w:rPr>
        <w:t>西藏自治区</w:t>
      </w:r>
      <w:r>
        <w:rPr>
          <w:rFonts w:hint="eastAsia" w:ascii="方正小标宋_GBK" w:hAnsi="方正小标宋_GBK" w:eastAsia="方正小标宋_GBK" w:cs="方正小标宋_GBK"/>
          <w:b w:val="0"/>
          <w:bCs w:val="0"/>
          <w:spacing w:val="12"/>
          <w:sz w:val="44"/>
          <w:szCs w:val="44"/>
        </w:rPr>
        <w:t>招标代理服务收费</w:t>
      </w:r>
      <w:r>
        <w:rPr>
          <w:rFonts w:hint="eastAsia" w:ascii="方正小标宋_GBK" w:hAnsi="方正小标宋_GBK" w:eastAsia="方正小标宋_GBK" w:cs="方正小标宋_GBK"/>
          <w:b w:val="0"/>
          <w:bCs w:val="0"/>
          <w:spacing w:val="12"/>
          <w:sz w:val="44"/>
          <w:szCs w:val="44"/>
          <w:lang w:val="en-US" w:eastAsia="zh-CN"/>
        </w:rPr>
        <w:t>指导意见</w:t>
      </w:r>
    </w:p>
    <w:p w14:paraId="30E0E5E4">
      <w:pPr>
        <w:keepNext w:val="0"/>
        <w:keepLines w:val="0"/>
        <w:pageBreakBefore w:val="0"/>
        <w:widowControl/>
        <w:kinsoku w:val="0"/>
        <w:wordWrap/>
        <w:overflowPunct/>
        <w:topLinePunct w:val="0"/>
        <w:autoSpaceDE w:val="0"/>
        <w:autoSpaceDN w:val="0"/>
        <w:bidi w:val="0"/>
        <w:adjustRightInd w:val="0"/>
        <w:snapToGrid w:val="0"/>
        <w:spacing w:before="91" w:line="576" w:lineRule="exact"/>
        <w:ind w:left="6"/>
        <w:jc w:val="center"/>
        <w:textAlignment w:val="baseline"/>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2"/>
          <w:sz w:val="44"/>
          <w:szCs w:val="44"/>
        </w:rPr>
        <w:t>(</w:t>
      </w:r>
      <w:r>
        <w:rPr>
          <w:rFonts w:hint="eastAsia" w:ascii="方正小标宋_GBK" w:hAnsi="方正小标宋_GBK" w:eastAsia="方正小标宋_GBK" w:cs="方正小标宋_GBK"/>
          <w:b w:val="0"/>
          <w:bCs w:val="0"/>
          <w:spacing w:val="12"/>
          <w:sz w:val="44"/>
          <w:szCs w:val="44"/>
          <w:lang w:val="en-US" w:eastAsia="zh-CN"/>
        </w:rPr>
        <w:t>试行</w:t>
      </w:r>
      <w:r>
        <w:rPr>
          <w:rFonts w:hint="eastAsia" w:ascii="方正小标宋_GBK" w:hAnsi="方正小标宋_GBK" w:eastAsia="方正小标宋_GBK" w:cs="方正小标宋_GBK"/>
          <w:b w:val="0"/>
          <w:bCs w:val="0"/>
          <w:spacing w:val="12"/>
          <w:sz w:val="44"/>
          <w:szCs w:val="44"/>
        </w:rPr>
        <w:t>)</w:t>
      </w:r>
    </w:p>
    <w:p w14:paraId="4E57747E">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 w:hAnsi="仿宋" w:eastAsia="仿宋" w:cs="仿宋"/>
          <w:b/>
          <w:bCs/>
          <w:snapToGrid w:val="0"/>
          <w:color w:val="000000"/>
          <w:spacing w:val="19"/>
          <w:kern w:val="0"/>
          <w:sz w:val="31"/>
          <w:szCs w:val="31"/>
          <w:lang w:val="en-US" w:eastAsia="zh-CN" w:bidi="ar-SA"/>
        </w:rPr>
      </w:pPr>
    </w:p>
    <w:p w14:paraId="1B5D82B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b w:val="0"/>
          <w:bCs w:val="0"/>
          <w:snapToGrid w:val="0"/>
          <w:color w:val="000000"/>
          <w:spacing w:val="19"/>
          <w:kern w:val="0"/>
          <w:sz w:val="32"/>
          <w:szCs w:val="32"/>
          <w:lang w:val="en-US" w:eastAsia="zh-CN" w:bidi="ar-SA"/>
        </w:rPr>
      </w:pPr>
      <w:r>
        <w:rPr>
          <w:rFonts w:hint="eastAsia" w:ascii="黑体" w:hAnsi="黑体" w:eastAsia="黑体" w:cs="黑体"/>
          <w:b w:val="0"/>
          <w:bCs w:val="0"/>
          <w:snapToGrid w:val="0"/>
          <w:color w:val="000000"/>
          <w:spacing w:val="19"/>
          <w:kern w:val="0"/>
          <w:sz w:val="32"/>
          <w:szCs w:val="32"/>
          <w:lang w:val="en-US" w:eastAsia="zh-CN" w:bidi="ar-SA"/>
        </w:rPr>
        <w:t>第一章  总  则</w:t>
      </w:r>
    </w:p>
    <w:p w14:paraId="52FEF48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为了规范建设工程招标代理活动，维护招标人、投标人和招标代理机构的合法权益，根据《中华人民共和国价格法》《中华人民共和国招标投标法》及有关法律、行政法规，</w:t>
      </w:r>
      <w:r>
        <w:rPr>
          <w:rFonts w:hint="eastAsia" w:ascii="仿宋_GB2312" w:hAnsi="仿宋_GB2312" w:eastAsia="仿宋_GB2312" w:cs="仿宋_GB2312"/>
          <w:color w:val="000000"/>
          <w:kern w:val="0"/>
          <w:sz w:val="32"/>
          <w:szCs w:val="32"/>
          <w:lang w:val="en-US" w:eastAsia="zh-CN"/>
        </w:rPr>
        <w:t>西藏自治区建筑业协会</w:t>
      </w:r>
      <w:r>
        <w:rPr>
          <w:rFonts w:hint="eastAsia" w:ascii="仿宋_GB2312" w:hAnsi="仿宋_GB2312" w:eastAsia="仿宋_GB2312" w:cs="仿宋_GB2312"/>
          <w:color w:val="000000"/>
          <w:kern w:val="0"/>
          <w:sz w:val="32"/>
          <w:szCs w:val="32"/>
        </w:rPr>
        <w:t>（以下简称“协会”）组织会员单位，在进行充分市场调查研究的基础上，通过统计、分析和论证制定本参考意见，作为</w:t>
      </w:r>
      <w:r>
        <w:rPr>
          <w:rFonts w:hint="eastAsia" w:ascii="仿宋_GB2312" w:hAnsi="仿宋_GB2312" w:eastAsia="仿宋_GB2312" w:cs="仿宋_GB2312"/>
          <w:color w:val="000000"/>
          <w:kern w:val="0"/>
          <w:sz w:val="32"/>
          <w:szCs w:val="32"/>
          <w:lang w:val="en-US" w:eastAsia="zh-CN"/>
        </w:rPr>
        <w:t>西藏自治区</w:t>
      </w:r>
      <w:r>
        <w:rPr>
          <w:rFonts w:hint="eastAsia" w:ascii="仿宋_GB2312" w:hAnsi="仿宋_GB2312" w:eastAsia="仿宋_GB2312" w:cs="仿宋_GB2312"/>
          <w:color w:val="000000"/>
          <w:kern w:val="0"/>
          <w:sz w:val="32"/>
          <w:szCs w:val="32"/>
        </w:rPr>
        <w:t>建设工程招标代理服务计取费用的参考。</w:t>
      </w:r>
    </w:p>
    <w:p w14:paraId="521B4FC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第二条</w:t>
      </w:r>
      <w:r>
        <w:rPr>
          <w:rFonts w:hint="default" w:ascii="仿宋_GB2312" w:hAnsi="仿宋_GB2312" w:eastAsia="仿宋_GB2312" w:cs="仿宋_GB2312"/>
          <w:color w:val="000000"/>
          <w:kern w:val="0"/>
          <w:sz w:val="32"/>
          <w:szCs w:val="32"/>
          <w:lang w:val="en-US" w:eastAsia="zh-CN"/>
        </w:rPr>
        <w:t> 根据《中华人民共和国反垄断法》《中华人民共和国反不正当竞争法》《国务院反垄断反不正当竞争委员会关于行业协会的反垄断指南》（双反委发〔2024〕2号）关于行业协会反垄断的相关规定及要求，本意见中的相关收费价格意见仅作参考。</w:t>
      </w:r>
    </w:p>
    <w:p w14:paraId="2298D09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本协会将约束会员遵守反垄断法相关规定，不组织或参与任何形式的垄断行为，明确反对行业内任何形式的横向垄断协议、纵向垄断协议以及滥用市场支配地位的行为，并将积极引导和帮助会员企业依法竞争，与上级主管部门、反垄断执法机构和其他相关机构建立良好的沟通机制，及时报告和配合反垄断调查。</w:t>
      </w:r>
    </w:p>
    <w:p w14:paraId="4ED3E6C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第三条</w:t>
      </w:r>
      <w:r>
        <w:rPr>
          <w:rFonts w:hint="eastAsia" w:ascii="仿宋_GB2312" w:hAnsi="仿宋_GB2312" w:eastAsia="仿宋_GB2312" w:cs="仿宋_GB2312"/>
          <w:color w:val="000000"/>
          <w:kern w:val="0"/>
          <w:sz w:val="32"/>
          <w:szCs w:val="32"/>
          <w:lang w:val="en-US" w:eastAsia="zh-CN"/>
        </w:rPr>
        <w:t xml:space="preserve"> 西藏自治区</w:t>
      </w:r>
      <w:r>
        <w:rPr>
          <w:rFonts w:hint="default" w:ascii="仿宋_GB2312" w:hAnsi="仿宋_GB2312" w:eastAsia="仿宋_GB2312" w:cs="仿宋_GB2312"/>
          <w:color w:val="000000"/>
          <w:kern w:val="0"/>
          <w:sz w:val="32"/>
          <w:szCs w:val="32"/>
          <w:lang w:val="en-US" w:eastAsia="zh-CN"/>
        </w:rPr>
        <w:t>行政区域内发生的工程以及与工程建设有关的货物、服务招标代理服务收费行为，可参考本意见。</w:t>
      </w:r>
    </w:p>
    <w:p w14:paraId="4513D828">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第四条</w:t>
      </w:r>
      <w:r>
        <w:rPr>
          <w:rFonts w:hint="eastAsia" w:ascii="仿宋_GB2312" w:hAnsi="仿宋_GB2312" w:eastAsia="仿宋_GB2312" w:cs="仿宋_GB2312"/>
          <w:color w:val="000000"/>
          <w:kern w:val="0"/>
          <w:sz w:val="32"/>
          <w:szCs w:val="32"/>
          <w:lang w:val="en-US" w:eastAsia="zh-CN"/>
        </w:rPr>
        <w:t xml:space="preserve"> </w:t>
      </w:r>
      <w:r>
        <w:rPr>
          <w:rFonts w:hint="default" w:ascii="仿宋_GB2312" w:hAnsi="仿宋_GB2312" w:eastAsia="仿宋_GB2312" w:cs="仿宋_GB2312"/>
          <w:color w:val="000000"/>
          <w:kern w:val="0"/>
          <w:sz w:val="32"/>
          <w:szCs w:val="32"/>
          <w:lang w:val="en-US" w:eastAsia="zh-CN"/>
        </w:rPr>
        <w:t>招标代理机构是依法设立、从事招标代理业务并提供相关服务的社会中介组织。</w:t>
      </w:r>
    </w:p>
    <w:p w14:paraId="1F967DDA">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招标代理机构应当有从事招标代理业务的营业场所和相应资金，有能够编制招标文件和组织评标的相应专业力量。</w:t>
      </w:r>
    </w:p>
    <w:p w14:paraId="1DE175C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rPr>
        <w:t>条 招标代理服务收费范围包含：招标代理机构接 受委托人委托，从事编制招标文件、资格预(后)审文件， 发布招标公告，招标答疑，组织开标、评标、定标以及提供 招标前期咨询、协调合同的签订等业务所收取的费用。</w:t>
      </w:r>
    </w:p>
    <w:p w14:paraId="4BA0BA6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条 招标代理机构应与委托人依法签订招标代理委 托合同，明确服务内容、双方责任和收费标准等，且应在委 托人委托的范围内办理招标事宜，遵守国家法律法规及政策 规定，符合招标项目的技术、质量要求。</w:t>
      </w:r>
    </w:p>
    <w:p w14:paraId="4DB2815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条 招标代理服务应该遵循公开、公正、</w:t>
      </w:r>
      <w:r>
        <w:rPr>
          <w:rFonts w:hint="eastAsia" w:ascii="仿宋_GB2312" w:hAnsi="仿宋_GB2312" w:eastAsia="仿宋_GB2312" w:cs="仿宋_GB2312"/>
          <w:color w:val="000000"/>
          <w:kern w:val="0"/>
          <w:sz w:val="32"/>
          <w:szCs w:val="32"/>
          <w:lang w:val="en-US" w:eastAsia="zh-CN"/>
        </w:rPr>
        <w:t>公</w:t>
      </w:r>
      <w:r>
        <w:rPr>
          <w:rFonts w:hint="eastAsia" w:ascii="仿宋_GB2312" w:hAnsi="仿宋_GB2312" w:eastAsia="仿宋_GB2312" w:cs="仿宋_GB2312"/>
          <w:color w:val="000000"/>
          <w:kern w:val="0"/>
          <w:sz w:val="32"/>
          <w:szCs w:val="32"/>
        </w:rPr>
        <w:t>平等、自愿、有偿的原则，严格禁止任何单位和个人为招标人强制指定招标代理机构或强制具有自行招标资格的单位接受代理并收取费用。</w:t>
      </w:r>
    </w:p>
    <w:p w14:paraId="6046CABC">
      <w:pPr>
        <w:keepNext w:val="0"/>
        <w:keepLines w:val="0"/>
        <w:pageBreakBefore w:val="0"/>
        <w:widowControl/>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第二章  招标代理服务收费</w:t>
      </w:r>
    </w:p>
    <w:p w14:paraId="2D33EE1A">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第八条 招标代理服务收费实行差额定率累进法计取</w:t>
      </w:r>
      <w:r>
        <w:rPr>
          <w:rFonts w:hint="eastAsia" w:ascii="仿宋_GB2312" w:hAnsi="仿宋_GB2312" w:eastAsia="仿宋_GB2312" w:cs="仿宋_GB2312"/>
          <w:color w:val="000000"/>
          <w:kern w:val="0"/>
          <w:sz w:val="32"/>
          <w:szCs w:val="32"/>
          <w:lang w:val="en-US" w:eastAsia="zh-CN"/>
        </w:rPr>
        <w:t>。</w:t>
      </w:r>
    </w:p>
    <w:p w14:paraId="403F2685">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九</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val="en-US" w:eastAsia="zh-CN"/>
        </w:rPr>
        <w:t xml:space="preserve"> </w:t>
      </w:r>
      <w:r>
        <w:rPr>
          <w:rFonts w:hint="default" w:ascii="仿宋_GB2312" w:hAnsi="仿宋_GB2312" w:eastAsia="仿宋_GB2312" w:cs="仿宋_GB2312"/>
          <w:color w:val="000000"/>
          <w:kern w:val="0"/>
          <w:sz w:val="32"/>
          <w:szCs w:val="32"/>
        </w:rPr>
        <w:t>参考意见所列明的价格为基准价格，以单个项目（或标段）中标通知书的中标金额为计费基数，具体收费金额委托双方可依据服务成本、服务质量、难易程度、市场行情等具体情况在收费费率上下浮动建议为20%的幅度内协商确定，不得恶意低价。收费低于7000元的项目（或标段），建议按7000元计取，不再浮动。</w:t>
      </w:r>
    </w:p>
    <w:p w14:paraId="32BDE0B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上述金额如以单价或不报价等无中标总金额方式进行招标的，以招标人的项目估算或招标控制总价为计费基数。</w:t>
      </w:r>
    </w:p>
    <w:p w14:paraId="2EBF9D22">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第十条</w:t>
      </w:r>
      <w:r>
        <w:rPr>
          <w:rFonts w:hint="eastAsia" w:ascii="仿宋_GB2312" w:hAnsi="仿宋_GB2312" w:eastAsia="仿宋_GB2312" w:cs="仿宋_GB2312"/>
          <w:color w:val="000000"/>
          <w:kern w:val="0"/>
          <w:sz w:val="32"/>
          <w:szCs w:val="32"/>
          <w:lang w:val="en-US" w:eastAsia="zh-CN"/>
        </w:rPr>
        <w:t xml:space="preserve"> </w:t>
      </w:r>
      <w:r>
        <w:rPr>
          <w:rFonts w:hint="default" w:ascii="仿宋_GB2312" w:hAnsi="仿宋_GB2312" w:eastAsia="仿宋_GB2312" w:cs="仿宋_GB2312"/>
          <w:color w:val="000000"/>
          <w:kern w:val="0"/>
          <w:sz w:val="32"/>
          <w:szCs w:val="32"/>
        </w:rPr>
        <w:t>招标代理服务成本包括：项目直接人工成本、交通、会务、专家咨询费及其他成本、企业管理费、企业利润、税金等。</w:t>
      </w:r>
    </w:p>
    <w:p w14:paraId="396002C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条</w:t>
      </w:r>
      <w:r>
        <w:rPr>
          <w:rFonts w:hint="default" w:ascii="仿宋_GB2312" w:hAnsi="仿宋_GB2312" w:eastAsia="仿宋_GB2312" w:cs="仿宋_GB2312"/>
          <w:color w:val="000000"/>
          <w:kern w:val="0"/>
          <w:sz w:val="32"/>
          <w:szCs w:val="32"/>
        </w:rPr>
        <w:t> 招标代理服务超出本参考意见所指范围的，如合同咨询、工程量清单和招标控制价的编制或其他延伸服务，招标代理机构可与招标人就所增加的服务内容，另行约定服务费用。</w:t>
      </w:r>
    </w:p>
    <w:p w14:paraId="5C07B99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二</w:t>
      </w:r>
      <w:r>
        <w:rPr>
          <w:rFonts w:hint="default" w:ascii="仿宋_GB2312" w:hAnsi="仿宋_GB2312" w:eastAsia="仿宋_GB2312" w:cs="仿宋_GB2312"/>
          <w:color w:val="000000"/>
          <w:kern w:val="0"/>
          <w:sz w:val="32"/>
          <w:szCs w:val="32"/>
        </w:rPr>
        <w:t>条 招标代理服务原则实行“谁委托谁付费”，具体支付方式在合同中约定</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若合同约定由中标人支付的，</w:t>
      </w:r>
      <w:r>
        <w:rPr>
          <w:rFonts w:hint="eastAsia" w:ascii="仿宋_GB2312" w:hAnsi="仿宋_GB2312" w:eastAsia="仿宋_GB2312" w:cs="仿宋_GB2312"/>
          <w:color w:val="000000"/>
          <w:kern w:val="0"/>
          <w:sz w:val="32"/>
          <w:szCs w:val="32"/>
          <w:lang w:val="en-US" w:eastAsia="zh-CN"/>
        </w:rPr>
        <w:t>从其约定，均</w:t>
      </w:r>
      <w:r>
        <w:rPr>
          <w:rFonts w:hint="default" w:ascii="仿宋_GB2312" w:hAnsi="仿宋_GB2312" w:eastAsia="仿宋_GB2312" w:cs="仿宋_GB2312"/>
          <w:color w:val="000000"/>
          <w:kern w:val="0"/>
          <w:sz w:val="32"/>
          <w:szCs w:val="32"/>
        </w:rPr>
        <w:t>应在招标文件中明确其支付的方式、时间、计算方法或金额。严禁向中标人收取招标文件所明确费用以外的任何费用。</w:t>
      </w:r>
    </w:p>
    <w:p w14:paraId="69C01DCF">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条 需专家隔夜评标、外出评标和非招标代理机构原因造成的复核或复审等二次评审所产生的费用，由招标人或中标人承担。</w:t>
      </w:r>
    </w:p>
    <w:p w14:paraId="366B3E7B">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rPr>
        <w:t>条 非招标代理机构原因产生处理异议或投诉案件，配合有关部门进行现场勘验、调查取证所发生的差旅费用则由招标人承担。</w:t>
      </w:r>
    </w:p>
    <w:p w14:paraId="58EC21FF">
      <w:pPr>
        <w:keepNext w:val="0"/>
        <w:keepLines w:val="0"/>
        <w:pageBreakBefore w:val="0"/>
        <w:widowControl/>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第三章  行业自律</w:t>
      </w:r>
    </w:p>
    <w:p w14:paraId="701562B0">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rPr>
        <w:t>条 加强行业自律和社会监督。加强对招标代理机构和从业人员的惩戒力度，严禁违反有关法律规定或有效的合同约定，以降低服务质量、减少服务、巧立名目、强制收费、串通价格、恶意低价等手段进行恶性竞争。</w:t>
      </w:r>
    </w:p>
    <w:p w14:paraId="6FFF49F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条 招标代理机构、相关单位及个人如发现上述恶性竞争行为，应积极向协会反映。协会核实后将对发生恶性竞争行为的招标代理机构及个人进行公示</w:t>
      </w:r>
      <w:r>
        <w:rPr>
          <w:rFonts w:hint="eastAsia" w:ascii="仿宋_GB2312" w:hAnsi="仿宋_GB2312" w:eastAsia="仿宋_GB2312" w:cs="仿宋_GB2312"/>
          <w:color w:val="000000"/>
          <w:kern w:val="0"/>
          <w:sz w:val="32"/>
          <w:szCs w:val="32"/>
          <w:lang w:val="en-US" w:eastAsia="zh-CN"/>
        </w:rPr>
        <w:t>并上报行业主管部门</w:t>
      </w:r>
      <w:r>
        <w:rPr>
          <w:rFonts w:hint="eastAsia" w:ascii="仿宋_GB2312" w:hAnsi="仿宋_GB2312" w:eastAsia="仿宋_GB2312" w:cs="仿宋_GB2312"/>
          <w:color w:val="000000"/>
          <w:kern w:val="0"/>
          <w:sz w:val="32"/>
          <w:szCs w:val="32"/>
        </w:rPr>
        <w:t>惩戒。</w:t>
      </w:r>
    </w:p>
    <w:p w14:paraId="45D15F5B">
      <w:pPr>
        <w:keepNext w:val="0"/>
        <w:keepLines w:val="0"/>
        <w:pageBreakBefore w:val="0"/>
        <w:widowControl/>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第四章  附  则</w:t>
      </w:r>
    </w:p>
    <w:p w14:paraId="5AD6F9EB">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条  本参考意见自</w:t>
      </w:r>
      <w:r>
        <w:rPr>
          <w:rFonts w:hint="eastAsia" w:ascii="仿宋_GB2312" w:hAnsi="仿宋_GB2312" w:eastAsia="仿宋_GB2312" w:cs="仿宋_GB2312"/>
          <w:color w:val="000000"/>
          <w:kern w:val="0"/>
          <w:sz w:val="32"/>
          <w:szCs w:val="32"/>
          <w:lang w:val="en-US" w:eastAsia="zh-CN"/>
        </w:rPr>
        <w:t>发布之日</w:t>
      </w:r>
      <w:r>
        <w:rPr>
          <w:rFonts w:hint="eastAsia" w:ascii="仿宋_GB2312" w:hAnsi="仿宋_GB2312" w:eastAsia="仿宋_GB2312" w:cs="仿宋_GB2312"/>
          <w:color w:val="000000"/>
          <w:kern w:val="0"/>
          <w:sz w:val="32"/>
          <w:szCs w:val="32"/>
        </w:rPr>
        <w:t>起施行，由</w:t>
      </w:r>
      <w:r>
        <w:rPr>
          <w:rFonts w:hint="eastAsia" w:ascii="仿宋_GB2312" w:hAnsi="仿宋_GB2312" w:eastAsia="仿宋_GB2312" w:cs="仿宋_GB2312"/>
          <w:color w:val="000000"/>
          <w:kern w:val="0"/>
          <w:sz w:val="32"/>
          <w:szCs w:val="32"/>
          <w:lang w:val="en-US" w:eastAsia="zh-CN"/>
        </w:rPr>
        <w:t>西藏自治区建筑业</w:t>
      </w:r>
      <w:r>
        <w:rPr>
          <w:rFonts w:hint="eastAsia" w:ascii="仿宋_GB2312" w:hAnsi="仿宋_GB2312" w:eastAsia="仿宋_GB2312" w:cs="仿宋_GB2312"/>
          <w:color w:val="000000"/>
          <w:kern w:val="0"/>
          <w:sz w:val="32"/>
          <w:szCs w:val="32"/>
        </w:rPr>
        <w:t>协会负责解释。</w:t>
      </w:r>
    </w:p>
    <w:p w14:paraId="29394EAB">
      <w:pPr>
        <w:pStyle w:val="2"/>
        <w:keepNext w:val="0"/>
        <w:keepLines w:val="0"/>
        <w:pageBreakBefore w:val="0"/>
        <w:widowControl/>
        <w:kinsoku w:val="0"/>
        <w:wordWrap/>
        <w:overflowPunct/>
        <w:topLinePunct w:val="0"/>
        <w:autoSpaceDE w:val="0"/>
        <w:autoSpaceDN w:val="0"/>
        <w:bidi w:val="0"/>
        <w:adjustRightInd w:val="0"/>
        <w:snapToGrid w:val="0"/>
        <w:spacing w:before="101" w:line="576" w:lineRule="exact"/>
        <w:ind w:left="679"/>
        <w:jc w:val="both"/>
        <w:textAlignment w:val="baseline"/>
        <w:rPr>
          <w:spacing w:val="9"/>
        </w:rPr>
      </w:pPr>
    </w:p>
    <w:p w14:paraId="56D2D4D3">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sectPr>
          <w:footerReference r:id="rId3" w:type="default"/>
          <w:pgSz w:w="11900" w:h="16830"/>
          <w:pgMar w:top="2098" w:right="1587" w:bottom="1701" w:left="1587" w:header="0" w:footer="0" w:gutter="0"/>
          <w:pgNumType w:fmt="decimal"/>
          <w:cols w:space="720" w:num="1"/>
        </w:sectPr>
      </w:pPr>
      <w:bookmarkStart w:id="0" w:name="_GoBack"/>
      <w:bookmarkEnd w:id="0"/>
    </w:p>
    <w:p w14:paraId="527D5CBB">
      <w:pPr>
        <w:pStyle w:val="2"/>
        <w:keepNext w:val="0"/>
        <w:keepLines w:val="0"/>
        <w:pageBreakBefore w:val="0"/>
        <w:widowControl/>
        <w:kinsoku w:val="0"/>
        <w:wordWrap/>
        <w:overflowPunct/>
        <w:topLinePunct w:val="0"/>
        <w:autoSpaceDE w:val="0"/>
        <w:autoSpaceDN w:val="0"/>
        <w:bidi w:val="0"/>
        <w:adjustRightInd w:val="0"/>
        <w:snapToGrid w:val="0"/>
        <w:spacing w:before="189" w:line="576" w:lineRule="exact"/>
        <w:ind w:right="15"/>
        <w:jc w:val="center"/>
        <w:textAlignment w:val="baseline"/>
        <w:rPr>
          <w:rFonts w:hint="eastAsia" w:ascii="方正小标宋_GBK" w:hAnsi="方正小标宋_GBK" w:eastAsia="方正小标宋_GBK" w:cs="方正小标宋_GBK"/>
          <w:b w:val="0"/>
          <w:bCs w:val="0"/>
          <w:spacing w:val="9"/>
          <w:sz w:val="32"/>
          <w:szCs w:val="32"/>
          <w:lang w:val="en-US" w:eastAsia="en-US"/>
        </w:rPr>
      </w:pPr>
      <w:r>
        <w:rPr>
          <w:rFonts w:hint="eastAsia" w:ascii="方正小标宋_GBK" w:hAnsi="方正小标宋_GBK" w:eastAsia="方正小标宋_GBK" w:cs="方正小标宋_GBK"/>
          <w:b w:val="0"/>
          <w:bCs w:val="0"/>
          <w:snapToGrid w:val="0"/>
          <w:color w:val="000000"/>
          <w:spacing w:val="19"/>
          <w:kern w:val="0"/>
          <w:sz w:val="32"/>
          <w:szCs w:val="32"/>
          <w:lang w:val="en-US" w:eastAsia="zh-CN" w:bidi="ar-SA"/>
        </w:rPr>
        <w:t>西藏自治区招标代理服务收费计算标准表</w:t>
      </w:r>
    </w:p>
    <w:tbl>
      <w:tblPr>
        <w:tblStyle w:val="6"/>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6"/>
        <w:gridCol w:w="1841"/>
        <w:gridCol w:w="2006"/>
        <w:gridCol w:w="1898"/>
      </w:tblGrid>
      <w:tr w14:paraId="4D63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666" w:type="dxa"/>
            <w:vAlign w:val="center"/>
          </w:tcPr>
          <w:p w14:paraId="708A4C4E">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b/>
                <w:bCs/>
                <w:spacing w:val="9"/>
                <w:sz w:val="24"/>
                <w:szCs w:val="24"/>
                <w:lang w:val="en-US" w:eastAsia="en-US"/>
              </w:rPr>
            </w:pPr>
            <w:r>
              <w:rPr>
                <w:rFonts w:hint="eastAsia"/>
                <w:b/>
                <w:bCs/>
                <w:spacing w:val="9"/>
                <w:sz w:val="24"/>
                <w:szCs w:val="24"/>
                <w:lang w:val="en-US" w:eastAsia="en-US"/>
              </w:rPr>
              <w:t>中标金额</w:t>
            </w:r>
          </w:p>
        </w:tc>
        <w:tc>
          <w:tcPr>
            <w:tcW w:w="1841" w:type="dxa"/>
            <w:vAlign w:val="center"/>
          </w:tcPr>
          <w:p w14:paraId="7C202A73">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b/>
                <w:bCs/>
                <w:spacing w:val="9"/>
                <w:sz w:val="24"/>
                <w:szCs w:val="24"/>
                <w:lang w:val="en-US" w:eastAsia="en-US"/>
              </w:rPr>
            </w:pPr>
            <w:r>
              <w:rPr>
                <w:rFonts w:hint="eastAsia"/>
                <w:b/>
                <w:bCs/>
                <w:spacing w:val="9"/>
                <w:sz w:val="24"/>
                <w:szCs w:val="24"/>
                <w:lang w:val="en-US" w:eastAsia="zh-CN"/>
              </w:rPr>
              <w:t>货物</w:t>
            </w:r>
            <w:r>
              <w:rPr>
                <w:rFonts w:hint="eastAsia"/>
                <w:b/>
                <w:bCs/>
                <w:spacing w:val="9"/>
                <w:sz w:val="24"/>
                <w:szCs w:val="24"/>
                <w:lang w:val="en-US" w:eastAsia="en-US"/>
              </w:rPr>
              <w:t>招标</w:t>
            </w:r>
          </w:p>
        </w:tc>
        <w:tc>
          <w:tcPr>
            <w:tcW w:w="2006" w:type="dxa"/>
            <w:vAlign w:val="center"/>
          </w:tcPr>
          <w:p w14:paraId="5AF987A4">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b/>
                <w:bCs/>
                <w:spacing w:val="9"/>
                <w:sz w:val="24"/>
                <w:szCs w:val="24"/>
                <w:lang w:val="en-US" w:eastAsia="en-US"/>
              </w:rPr>
            </w:pPr>
            <w:r>
              <w:rPr>
                <w:rFonts w:hint="eastAsia"/>
                <w:b/>
                <w:bCs/>
                <w:spacing w:val="9"/>
                <w:sz w:val="24"/>
                <w:szCs w:val="24"/>
                <w:lang w:val="en-US" w:eastAsia="en-US"/>
              </w:rPr>
              <w:t>服务招标</w:t>
            </w:r>
          </w:p>
        </w:tc>
        <w:tc>
          <w:tcPr>
            <w:tcW w:w="1898" w:type="dxa"/>
            <w:vAlign w:val="center"/>
          </w:tcPr>
          <w:p w14:paraId="3AB256D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b/>
                <w:bCs/>
                <w:spacing w:val="9"/>
                <w:sz w:val="24"/>
                <w:szCs w:val="24"/>
                <w:lang w:val="en-US" w:eastAsia="en-US"/>
              </w:rPr>
            </w:pPr>
            <w:r>
              <w:rPr>
                <w:rFonts w:hint="eastAsia"/>
                <w:b/>
                <w:bCs/>
                <w:spacing w:val="9"/>
                <w:sz w:val="24"/>
                <w:szCs w:val="24"/>
                <w:lang w:val="en-US" w:eastAsia="en-US"/>
              </w:rPr>
              <w:t>工程招标</w:t>
            </w:r>
          </w:p>
        </w:tc>
      </w:tr>
      <w:tr w14:paraId="1498F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4666" w:type="dxa"/>
            <w:vAlign w:val="center"/>
          </w:tcPr>
          <w:p w14:paraId="46879DDD">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100万元以下(含100万元)</w:t>
            </w:r>
          </w:p>
        </w:tc>
        <w:tc>
          <w:tcPr>
            <w:tcW w:w="1841" w:type="dxa"/>
            <w:vAlign w:val="center"/>
          </w:tcPr>
          <w:p w14:paraId="541C094C">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1.5%</w:t>
            </w:r>
          </w:p>
        </w:tc>
        <w:tc>
          <w:tcPr>
            <w:tcW w:w="2006" w:type="dxa"/>
            <w:vAlign w:val="center"/>
          </w:tcPr>
          <w:p w14:paraId="1ABC1907">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1.5%</w:t>
            </w:r>
          </w:p>
        </w:tc>
        <w:tc>
          <w:tcPr>
            <w:tcW w:w="1898" w:type="dxa"/>
            <w:vAlign w:val="center"/>
          </w:tcPr>
          <w:p w14:paraId="12596838">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1.0%</w:t>
            </w:r>
          </w:p>
        </w:tc>
      </w:tr>
      <w:tr w14:paraId="54D9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4666" w:type="dxa"/>
            <w:vAlign w:val="center"/>
          </w:tcPr>
          <w:p w14:paraId="46BAFC7C">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100-500万元(含500万元)</w:t>
            </w:r>
          </w:p>
        </w:tc>
        <w:tc>
          <w:tcPr>
            <w:tcW w:w="1841" w:type="dxa"/>
            <w:vAlign w:val="center"/>
          </w:tcPr>
          <w:p w14:paraId="3009341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lang w:val="en-US" w:eastAsia="zh-CN"/>
              </w:rPr>
              <w:t>1.1</w:t>
            </w:r>
            <w:r>
              <w:rPr>
                <w:rFonts w:hint="eastAsia"/>
                <w:spacing w:val="9"/>
                <w:sz w:val="24"/>
                <w:szCs w:val="24"/>
              </w:rPr>
              <w:t>%</w:t>
            </w:r>
          </w:p>
        </w:tc>
        <w:tc>
          <w:tcPr>
            <w:tcW w:w="2006" w:type="dxa"/>
            <w:vAlign w:val="center"/>
          </w:tcPr>
          <w:p w14:paraId="03808CC4">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0.8%</w:t>
            </w:r>
          </w:p>
        </w:tc>
        <w:tc>
          <w:tcPr>
            <w:tcW w:w="1898" w:type="dxa"/>
            <w:vAlign w:val="center"/>
          </w:tcPr>
          <w:p w14:paraId="377152A4">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0.7%</w:t>
            </w:r>
          </w:p>
        </w:tc>
      </w:tr>
      <w:tr w14:paraId="18188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4666" w:type="dxa"/>
            <w:vAlign w:val="center"/>
          </w:tcPr>
          <w:p w14:paraId="77221603">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500-1000万元(含1000万元)</w:t>
            </w:r>
          </w:p>
        </w:tc>
        <w:tc>
          <w:tcPr>
            <w:tcW w:w="1841" w:type="dxa"/>
            <w:vAlign w:val="center"/>
          </w:tcPr>
          <w:p w14:paraId="298B91A3">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lang w:val="en-US" w:eastAsia="zh-CN"/>
              </w:rPr>
              <w:t>0.8</w:t>
            </w:r>
            <w:r>
              <w:rPr>
                <w:rFonts w:hint="eastAsia"/>
                <w:spacing w:val="9"/>
                <w:sz w:val="24"/>
                <w:szCs w:val="24"/>
              </w:rPr>
              <w:t>%</w:t>
            </w:r>
          </w:p>
        </w:tc>
        <w:tc>
          <w:tcPr>
            <w:tcW w:w="2006" w:type="dxa"/>
            <w:vAlign w:val="center"/>
          </w:tcPr>
          <w:p w14:paraId="0440FD58">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0.45%</w:t>
            </w:r>
          </w:p>
        </w:tc>
        <w:tc>
          <w:tcPr>
            <w:tcW w:w="1898" w:type="dxa"/>
            <w:vAlign w:val="center"/>
          </w:tcPr>
          <w:p w14:paraId="5599CBF4">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0.55%</w:t>
            </w:r>
          </w:p>
        </w:tc>
      </w:tr>
      <w:tr w14:paraId="40E2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4666" w:type="dxa"/>
            <w:vAlign w:val="center"/>
          </w:tcPr>
          <w:p w14:paraId="7E15CC0F">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1000-5000万元(含5000万元)</w:t>
            </w:r>
          </w:p>
        </w:tc>
        <w:tc>
          <w:tcPr>
            <w:tcW w:w="1841" w:type="dxa"/>
            <w:vAlign w:val="center"/>
          </w:tcPr>
          <w:p w14:paraId="2B50278D">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lang w:val="en-US" w:eastAsia="zh-CN"/>
              </w:rPr>
              <w:t>0.5</w:t>
            </w:r>
            <w:r>
              <w:rPr>
                <w:rFonts w:hint="eastAsia"/>
                <w:spacing w:val="9"/>
                <w:sz w:val="24"/>
                <w:szCs w:val="24"/>
              </w:rPr>
              <w:t>%</w:t>
            </w:r>
          </w:p>
        </w:tc>
        <w:tc>
          <w:tcPr>
            <w:tcW w:w="2006" w:type="dxa"/>
            <w:vAlign w:val="center"/>
          </w:tcPr>
          <w:p w14:paraId="6DECA84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0.25%</w:t>
            </w:r>
          </w:p>
        </w:tc>
        <w:tc>
          <w:tcPr>
            <w:tcW w:w="1898" w:type="dxa"/>
            <w:vAlign w:val="center"/>
          </w:tcPr>
          <w:p w14:paraId="795E5CF6">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0.35%</w:t>
            </w:r>
          </w:p>
        </w:tc>
      </w:tr>
      <w:tr w14:paraId="172E3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666" w:type="dxa"/>
            <w:vAlign w:val="center"/>
          </w:tcPr>
          <w:p w14:paraId="3B1C0DF7">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5000万元-</w:t>
            </w:r>
            <w:r>
              <w:rPr>
                <w:rFonts w:hint="eastAsia"/>
                <w:spacing w:val="9"/>
                <w:sz w:val="24"/>
                <w:szCs w:val="24"/>
                <w:lang w:val="en-US" w:eastAsia="zh-CN"/>
              </w:rPr>
              <w:t>10000</w:t>
            </w:r>
            <w:r>
              <w:rPr>
                <w:rFonts w:hint="eastAsia"/>
                <w:spacing w:val="9"/>
                <w:sz w:val="24"/>
                <w:szCs w:val="24"/>
              </w:rPr>
              <w:t>万元(含</w:t>
            </w:r>
            <w:r>
              <w:rPr>
                <w:rFonts w:hint="eastAsia"/>
                <w:spacing w:val="9"/>
                <w:sz w:val="24"/>
                <w:szCs w:val="24"/>
                <w:lang w:val="en-US" w:eastAsia="zh-CN"/>
              </w:rPr>
              <w:t>10000</w:t>
            </w:r>
            <w:r>
              <w:rPr>
                <w:rFonts w:hint="eastAsia"/>
                <w:spacing w:val="9"/>
                <w:sz w:val="24"/>
                <w:szCs w:val="24"/>
              </w:rPr>
              <w:t>万元)</w:t>
            </w:r>
          </w:p>
        </w:tc>
        <w:tc>
          <w:tcPr>
            <w:tcW w:w="1841" w:type="dxa"/>
            <w:vAlign w:val="center"/>
          </w:tcPr>
          <w:p w14:paraId="7697FC44">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lang w:val="en-US" w:eastAsia="zh-CN"/>
              </w:rPr>
              <w:t>0.25</w:t>
            </w:r>
            <w:r>
              <w:rPr>
                <w:rFonts w:hint="eastAsia"/>
                <w:spacing w:val="9"/>
                <w:sz w:val="24"/>
                <w:szCs w:val="24"/>
              </w:rPr>
              <w:t>%</w:t>
            </w:r>
          </w:p>
        </w:tc>
        <w:tc>
          <w:tcPr>
            <w:tcW w:w="2006" w:type="dxa"/>
            <w:vAlign w:val="center"/>
          </w:tcPr>
          <w:p w14:paraId="2EB1E1B0">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0.1%</w:t>
            </w:r>
          </w:p>
        </w:tc>
        <w:tc>
          <w:tcPr>
            <w:tcW w:w="1898" w:type="dxa"/>
            <w:vAlign w:val="center"/>
          </w:tcPr>
          <w:p w14:paraId="2F3C8592">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0.2%</w:t>
            </w:r>
          </w:p>
        </w:tc>
      </w:tr>
      <w:tr w14:paraId="25F5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4666" w:type="dxa"/>
            <w:vAlign w:val="center"/>
          </w:tcPr>
          <w:p w14:paraId="7EF9A833">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lang w:val="en-US" w:eastAsia="zh-CN"/>
              </w:rPr>
              <w:t>10000</w:t>
            </w:r>
            <w:r>
              <w:rPr>
                <w:rFonts w:hint="eastAsia"/>
                <w:spacing w:val="9"/>
                <w:sz w:val="24"/>
                <w:szCs w:val="24"/>
              </w:rPr>
              <w:t>-</w:t>
            </w:r>
            <w:r>
              <w:rPr>
                <w:rFonts w:hint="eastAsia"/>
                <w:spacing w:val="9"/>
                <w:sz w:val="24"/>
                <w:szCs w:val="24"/>
                <w:lang w:val="en-US" w:eastAsia="zh-CN"/>
              </w:rPr>
              <w:t>100000</w:t>
            </w:r>
            <w:r>
              <w:rPr>
                <w:rFonts w:hint="eastAsia"/>
                <w:spacing w:val="9"/>
                <w:sz w:val="24"/>
                <w:szCs w:val="24"/>
              </w:rPr>
              <w:t>万元(含</w:t>
            </w:r>
            <w:r>
              <w:rPr>
                <w:rFonts w:hint="eastAsia"/>
                <w:spacing w:val="9"/>
                <w:sz w:val="24"/>
                <w:szCs w:val="24"/>
                <w:lang w:val="en-US" w:eastAsia="zh-CN"/>
              </w:rPr>
              <w:t>100000</w:t>
            </w:r>
            <w:r>
              <w:rPr>
                <w:rFonts w:hint="eastAsia"/>
                <w:spacing w:val="9"/>
                <w:sz w:val="24"/>
                <w:szCs w:val="24"/>
              </w:rPr>
              <w:t>万元)</w:t>
            </w:r>
          </w:p>
        </w:tc>
        <w:tc>
          <w:tcPr>
            <w:tcW w:w="1841" w:type="dxa"/>
            <w:vAlign w:val="center"/>
          </w:tcPr>
          <w:p w14:paraId="0A22D897">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0.05%</w:t>
            </w:r>
          </w:p>
        </w:tc>
        <w:tc>
          <w:tcPr>
            <w:tcW w:w="2006" w:type="dxa"/>
            <w:vAlign w:val="center"/>
          </w:tcPr>
          <w:p w14:paraId="669CE76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0.05%</w:t>
            </w:r>
          </w:p>
        </w:tc>
        <w:tc>
          <w:tcPr>
            <w:tcW w:w="1898" w:type="dxa"/>
            <w:vAlign w:val="center"/>
          </w:tcPr>
          <w:p w14:paraId="16C11DB9">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0.05%</w:t>
            </w:r>
          </w:p>
        </w:tc>
      </w:tr>
      <w:tr w14:paraId="09BF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4666" w:type="dxa"/>
            <w:vAlign w:val="center"/>
          </w:tcPr>
          <w:p w14:paraId="5435AE88">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100</w:t>
            </w:r>
            <w:r>
              <w:rPr>
                <w:rFonts w:hint="eastAsia"/>
                <w:spacing w:val="9"/>
                <w:sz w:val="24"/>
                <w:szCs w:val="24"/>
                <w:lang w:val="en-US" w:eastAsia="zh-CN"/>
              </w:rPr>
              <w:t>0000万元</w:t>
            </w:r>
            <w:r>
              <w:rPr>
                <w:rFonts w:hint="eastAsia"/>
                <w:spacing w:val="9"/>
                <w:sz w:val="24"/>
                <w:szCs w:val="24"/>
              </w:rPr>
              <w:t>以上</w:t>
            </w:r>
          </w:p>
        </w:tc>
        <w:tc>
          <w:tcPr>
            <w:tcW w:w="1841" w:type="dxa"/>
            <w:vAlign w:val="center"/>
          </w:tcPr>
          <w:p w14:paraId="56EEFA2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0.0</w:t>
            </w:r>
            <w:r>
              <w:rPr>
                <w:rFonts w:hint="eastAsia"/>
                <w:spacing w:val="9"/>
                <w:sz w:val="24"/>
                <w:szCs w:val="24"/>
                <w:lang w:val="en-US" w:eastAsia="zh-CN"/>
              </w:rPr>
              <w:t>1</w:t>
            </w:r>
            <w:r>
              <w:rPr>
                <w:rFonts w:hint="eastAsia"/>
                <w:spacing w:val="9"/>
                <w:sz w:val="24"/>
                <w:szCs w:val="24"/>
              </w:rPr>
              <w:t>%</w:t>
            </w:r>
          </w:p>
        </w:tc>
        <w:tc>
          <w:tcPr>
            <w:tcW w:w="2006" w:type="dxa"/>
            <w:vAlign w:val="center"/>
          </w:tcPr>
          <w:p w14:paraId="0D6A6821">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0.0</w:t>
            </w:r>
            <w:r>
              <w:rPr>
                <w:rFonts w:hint="eastAsia"/>
                <w:spacing w:val="9"/>
                <w:sz w:val="24"/>
                <w:szCs w:val="24"/>
                <w:lang w:val="en-US" w:eastAsia="zh-CN"/>
              </w:rPr>
              <w:t>1</w:t>
            </w:r>
            <w:r>
              <w:rPr>
                <w:rFonts w:hint="eastAsia"/>
                <w:spacing w:val="9"/>
                <w:sz w:val="24"/>
                <w:szCs w:val="24"/>
              </w:rPr>
              <w:t>%</w:t>
            </w:r>
          </w:p>
        </w:tc>
        <w:tc>
          <w:tcPr>
            <w:tcW w:w="1898" w:type="dxa"/>
            <w:vAlign w:val="center"/>
          </w:tcPr>
          <w:p w14:paraId="79992D5A">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jc w:val="center"/>
              <w:textAlignment w:val="baseline"/>
              <w:rPr>
                <w:rFonts w:hint="eastAsia"/>
                <w:spacing w:val="9"/>
                <w:sz w:val="24"/>
                <w:szCs w:val="24"/>
              </w:rPr>
            </w:pPr>
            <w:r>
              <w:rPr>
                <w:rFonts w:hint="eastAsia"/>
                <w:spacing w:val="9"/>
                <w:sz w:val="24"/>
                <w:szCs w:val="24"/>
              </w:rPr>
              <w:t>0.0</w:t>
            </w:r>
            <w:r>
              <w:rPr>
                <w:rFonts w:hint="eastAsia"/>
                <w:spacing w:val="9"/>
                <w:sz w:val="24"/>
                <w:szCs w:val="24"/>
                <w:lang w:val="en-US" w:eastAsia="zh-CN"/>
              </w:rPr>
              <w:t>1</w:t>
            </w:r>
            <w:r>
              <w:rPr>
                <w:rFonts w:hint="eastAsia"/>
                <w:spacing w:val="9"/>
                <w:sz w:val="24"/>
                <w:szCs w:val="24"/>
              </w:rPr>
              <w:t>%</w:t>
            </w:r>
          </w:p>
        </w:tc>
      </w:tr>
    </w:tbl>
    <w:p w14:paraId="2EB5FCB1">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注：按本表费率计算的收费为招标代理服务全过程的收费基准价格，不含工程量清单、招标工程最高投标限价(招标控制价)或工程标底的编制费用。</w:t>
      </w:r>
    </w:p>
    <w:p w14:paraId="0CE1B483">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招标代理服务收费按差额定率累进法计算。</w:t>
      </w:r>
    </w:p>
    <w:p w14:paraId="0CC42EF0">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default"/>
          <w:spacing w:val="9"/>
        </w:rPr>
      </w:pPr>
      <w:r>
        <w:rPr>
          <w:rFonts w:hint="eastAsia"/>
          <w:spacing w:val="9"/>
        </w:rPr>
        <w:t>例如：某工程总承包（含勘察设计、施工）项目，中标金额中勘察设计费为</w:t>
      </w:r>
      <w:r>
        <w:rPr>
          <w:rFonts w:hint="default"/>
          <w:spacing w:val="9"/>
        </w:rPr>
        <w:t>300万元，施工费用为</w:t>
      </w:r>
      <w:r>
        <w:rPr>
          <w:rFonts w:hint="eastAsia"/>
          <w:spacing w:val="9"/>
          <w:lang w:val="en-US" w:eastAsia="zh-CN"/>
        </w:rPr>
        <w:t>6000</w:t>
      </w:r>
      <w:r>
        <w:rPr>
          <w:rFonts w:hint="default"/>
          <w:spacing w:val="9"/>
        </w:rPr>
        <w:t>万元，计算招标代理服务收费额如下：</w:t>
      </w:r>
    </w:p>
    <w:p w14:paraId="6E713A40">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例如：</w:t>
      </w:r>
      <w:r>
        <w:rPr>
          <w:rFonts w:hint="default"/>
          <w:spacing w:val="9"/>
        </w:rPr>
        <w:t>勘察设计部分招标代理服务收费额</w:t>
      </w:r>
    </w:p>
    <w:p w14:paraId="6D314BB2">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default"/>
          <w:spacing w:val="9"/>
        </w:rPr>
      </w:pPr>
      <w:r>
        <w:rPr>
          <w:rFonts w:hint="default"/>
          <w:spacing w:val="9"/>
        </w:rPr>
        <w:t>100万元×1.5%=1.50万元</w:t>
      </w:r>
    </w:p>
    <w:p w14:paraId="34B5436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default"/>
          <w:spacing w:val="9"/>
        </w:rPr>
      </w:pPr>
      <w:r>
        <w:rPr>
          <w:rFonts w:hint="default"/>
          <w:spacing w:val="9"/>
        </w:rPr>
        <w:t>（300-100）万元×1.3%=2.6万元</w:t>
      </w:r>
    </w:p>
    <w:p w14:paraId="57922FAA">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default"/>
          <w:spacing w:val="9"/>
        </w:rPr>
        <w:t>该部分合计收费=1.5＋2.6=4.1（万元）</w:t>
      </w:r>
      <w:r>
        <w:rPr>
          <w:rFonts w:hint="eastAsia"/>
          <w:spacing w:val="9"/>
        </w:rPr>
        <w:t xml:space="preserve"> </w:t>
      </w:r>
    </w:p>
    <w:p w14:paraId="6C739C37">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例如：</w:t>
      </w:r>
      <w:r>
        <w:rPr>
          <w:rFonts w:hint="eastAsia"/>
          <w:spacing w:val="9"/>
          <w:lang w:val="en-US" w:eastAsia="zh-CN"/>
        </w:rPr>
        <w:t>施工</w:t>
      </w:r>
      <w:r>
        <w:rPr>
          <w:rFonts w:hint="default"/>
          <w:spacing w:val="9"/>
        </w:rPr>
        <w:t>部分招标代理服务收费额</w:t>
      </w:r>
    </w:p>
    <w:p w14:paraId="0F99E485">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100万元×1.0%=1万元</w:t>
      </w:r>
    </w:p>
    <w:p w14:paraId="43428CB2">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(500-100)万元×0.7%=2.8万元</w:t>
      </w:r>
    </w:p>
    <w:p w14:paraId="27FBA9E0">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(1000-500)万元×0.55%=2.75万元</w:t>
      </w:r>
    </w:p>
    <w:p w14:paraId="032B1CF0">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 xml:space="preserve">(5000-1000)万元×0.35%=14万元 </w:t>
      </w:r>
    </w:p>
    <w:p w14:paraId="7EE7F244">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(6000-5000)万元×0.2%=2万元</w:t>
      </w:r>
    </w:p>
    <w:p w14:paraId="020B79D2">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lang w:val="en-US" w:eastAsia="zh-CN"/>
        </w:rPr>
        <w:t>该部分</w:t>
      </w:r>
      <w:r>
        <w:rPr>
          <w:rFonts w:hint="eastAsia"/>
          <w:spacing w:val="9"/>
        </w:rPr>
        <w:t>合计收费=1+2.8+2.75+14+2=22.55(万元)</w:t>
      </w:r>
    </w:p>
    <w:p w14:paraId="6E2EF65F">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default"/>
          <w:spacing w:val="9"/>
          <w:lang w:val="en-US" w:eastAsia="zh-CN"/>
        </w:rPr>
      </w:pPr>
      <w:r>
        <w:rPr>
          <w:rFonts w:hint="eastAsia"/>
          <w:spacing w:val="9"/>
          <w:lang w:val="en-US" w:eastAsia="zh-CN"/>
        </w:rPr>
        <w:t>合计收费：4.1+22.55=26.65（万元）</w:t>
      </w:r>
    </w:p>
    <w:p w14:paraId="6D911206">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pPr>
    </w:p>
    <w:p w14:paraId="09F24FEA">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default"/>
          <w:spacing w:val="9"/>
        </w:rPr>
        <w:t>该部分合计收费=1.5＋2.6=4.1（万元）</w:t>
      </w:r>
      <w:r>
        <w:rPr>
          <w:rFonts w:hint="eastAsia"/>
          <w:spacing w:val="9"/>
        </w:rPr>
        <w:t xml:space="preserve"> </w:t>
      </w:r>
    </w:p>
    <w:p w14:paraId="226778C0">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例如：</w:t>
      </w:r>
      <w:r>
        <w:rPr>
          <w:rFonts w:hint="eastAsia"/>
          <w:spacing w:val="9"/>
          <w:lang w:val="en-US" w:eastAsia="zh-CN"/>
        </w:rPr>
        <w:t>施工</w:t>
      </w:r>
      <w:r>
        <w:rPr>
          <w:rFonts w:hint="default"/>
          <w:spacing w:val="9"/>
        </w:rPr>
        <w:t>部分招标代理服务收费额</w:t>
      </w:r>
    </w:p>
    <w:p w14:paraId="65CEC53F">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100万元×1.0%=1万元</w:t>
      </w:r>
    </w:p>
    <w:p w14:paraId="79F4F233">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(500-100)万元×0.7%=2.8万元</w:t>
      </w:r>
    </w:p>
    <w:p w14:paraId="5294A9FE">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(1000-500)万元×0.55%=2.75万元</w:t>
      </w:r>
    </w:p>
    <w:p w14:paraId="08B1776B">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 xml:space="preserve">(5000-1000)万元×0.35%=14万元 </w:t>
      </w:r>
    </w:p>
    <w:p w14:paraId="4FCA8422">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rPr>
        <w:t>(6000-5000)万元×0.2%=2万元</w:t>
      </w:r>
    </w:p>
    <w:p w14:paraId="52C5853E">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eastAsia"/>
          <w:spacing w:val="9"/>
        </w:rPr>
      </w:pPr>
      <w:r>
        <w:rPr>
          <w:rFonts w:hint="eastAsia"/>
          <w:spacing w:val="9"/>
          <w:lang w:val="en-US" w:eastAsia="zh-CN"/>
        </w:rPr>
        <w:t>该部分</w:t>
      </w:r>
      <w:r>
        <w:rPr>
          <w:rFonts w:hint="eastAsia"/>
          <w:spacing w:val="9"/>
        </w:rPr>
        <w:t>合计收费=1+2.8+2.75+14+2=22.55(万元)</w:t>
      </w:r>
    </w:p>
    <w:p w14:paraId="6A9C76EC">
      <w:pPr>
        <w:pStyle w:val="2"/>
        <w:keepNext w:val="0"/>
        <w:keepLines w:val="0"/>
        <w:pageBreakBefore w:val="0"/>
        <w:widowControl/>
        <w:kinsoku w:val="0"/>
        <w:wordWrap/>
        <w:overflowPunct/>
        <w:topLinePunct w:val="0"/>
        <w:autoSpaceDE w:val="0"/>
        <w:autoSpaceDN w:val="0"/>
        <w:bidi w:val="0"/>
        <w:adjustRightInd w:val="0"/>
        <w:snapToGrid w:val="0"/>
        <w:spacing w:before="188" w:line="576" w:lineRule="exact"/>
        <w:ind w:right="28" w:firstLine="679"/>
        <w:jc w:val="both"/>
        <w:textAlignment w:val="baseline"/>
        <w:rPr>
          <w:rFonts w:hint="default"/>
          <w:spacing w:val="9"/>
          <w:lang w:val="en-US" w:eastAsia="zh-CN"/>
        </w:rPr>
      </w:pPr>
      <w:r>
        <w:rPr>
          <w:rFonts w:hint="eastAsia"/>
          <w:spacing w:val="9"/>
          <w:lang w:val="en-US" w:eastAsia="zh-CN"/>
        </w:rPr>
        <w:t>合计收费：4.1+22.55=26.65（万元）</w:t>
      </w:r>
    </w:p>
    <w:p w14:paraId="3EAC9DB9">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pPr>
    </w:p>
    <w:p w14:paraId="18600D0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i w:val="0"/>
          <w:iCs w:val="0"/>
          <w:caps w:val="0"/>
          <w:color w:val="1F2329"/>
          <w:spacing w:val="0"/>
          <w:sz w:val="32"/>
          <w:szCs w:val="32"/>
          <w:shd w:val="clear" w:fill="FFFFFF"/>
          <w:lang w:val="en-US" w:eastAsia="zh-CN"/>
        </w:rPr>
      </w:pPr>
    </w:p>
    <w:p w14:paraId="410358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14:paraId="302B6D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14:paraId="304E50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14:paraId="23C400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63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B97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DB97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853F3"/>
    <w:rsid w:val="5592300C"/>
    <w:rsid w:val="78D56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2049</Words>
  <Characters>2349</Characters>
  <Lines>0</Lines>
  <Paragraphs>0</Paragraphs>
  <TotalTime>0</TotalTime>
  <ScaleCrop>false</ScaleCrop>
  <LinksUpToDate>false</LinksUpToDate>
  <CharactersWithSpaces>2381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2026-05-12T09:34:00Z</dcterms:created>
  <dc:creator>Lenovo v</dc:creator>
  <cp:lastModifiedBy>小园子</cp:lastModifiedBy>
  <dcterms:modified xsi:type="dcterms:W3CDTF">2026-05-13T07:19:04Z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eyJoZGlkIjoiMDgwNDBhMzBhNzIyNThiYzJhNzFmN2MzMTRjYjEwZmIiLCJ1c2VySWQiOiIyODAzMzYwMTcifQ==</vt:lpwstr>
  </property>
  <property fmtid="{D5CDD505-2E9C-101B-9397-08002B2CF9AE}" pid="4" name="ICV">
    <vt:lpwstr>B209204EABB6422F9A2EFBD86FAE774F_13</vt:lpwstr>
  </property>
</Properties>
</file>